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D9A" w:rsidRPr="00BC3D9A" w:rsidRDefault="00BC3D9A" w:rsidP="00BC3D9A">
      <w:pPr>
        <w:pStyle w:val="Heading1"/>
        <w:overflowPunct/>
        <w:autoSpaceDE/>
        <w:autoSpaceDN/>
        <w:adjustRightInd/>
        <w:spacing w:line="240" w:lineRule="auto"/>
        <w:ind w:firstLine="0"/>
        <w:jc w:val="center"/>
        <w:textAlignment w:val="auto"/>
        <w:rPr>
          <w:rFonts w:ascii="GHEA Grapalat" w:hAnsi="GHEA Grapalat" w:cs="Sylfaen"/>
          <w:noProof/>
          <w:sz w:val="28"/>
          <w:szCs w:val="22"/>
          <w:lang w:val="hy-AM"/>
        </w:rPr>
      </w:pPr>
      <w:bookmarkStart w:id="0" w:name="_Toc71311877"/>
      <w:bookmarkStart w:id="1" w:name="_Toc102759881"/>
      <w:r w:rsidRPr="00BC3D9A">
        <w:rPr>
          <w:rFonts w:ascii="GHEA Grapalat" w:hAnsi="GHEA Grapalat" w:cs="Sylfaen"/>
          <w:noProof/>
          <w:sz w:val="28"/>
          <w:szCs w:val="22"/>
          <w:lang w:val="hy-AM"/>
        </w:rPr>
        <w:t>ՀԱՅԱՍՏԱՆԻ ՀԱՆՐԱՊԵՏՈՒԹՅԱՆ ՄԱԿՐՈՏՆՏԵՍԱԿԱՆ ԵՎ ՀԱՐԿԱԲՅՈՒՋԵՏԱՅԻՆ ԶԱՐԳԱՑՈՒՄՆԵՐԸ 2022 ԹՎԱԿԱՆԻ ԱՌԱՋԻՆ ԵՌԱՄՍՅԱԿՈՒՄ</w:t>
      </w:r>
      <w:bookmarkEnd w:id="0"/>
      <w:bookmarkEnd w:id="1"/>
    </w:p>
    <w:p w:rsidR="00BC3D9A" w:rsidRPr="00B57DAB" w:rsidRDefault="00BC3D9A" w:rsidP="00BC3D9A">
      <w:pPr>
        <w:autoSpaceDE w:val="0"/>
        <w:autoSpaceDN w:val="0"/>
        <w:adjustRightInd w:val="0"/>
        <w:ind w:firstLine="567"/>
        <w:jc w:val="both"/>
        <w:rPr>
          <w:rFonts w:ascii="GHEA Grapalat" w:hAnsi="GHEA Grapalat"/>
          <w:sz w:val="22"/>
          <w:szCs w:val="22"/>
          <w:lang w:val="hy-AM"/>
        </w:rPr>
      </w:pPr>
      <w:bookmarkStart w:id="2" w:name="_Toc71283305"/>
    </w:p>
    <w:p w:rsidR="00BC3D9A" w:rsidRPr="00BC3D9A" w:rsidRDefault="00BC3D9A" w:rsidP="00BC3D9A">
      <w:pPr>
        <w:pStyle w:val="Heading2"/>
        <w:overflowPunct/>
        <w:autoSpaceDE/>
        <w:autoSpaceDN/>
        <w:adjustRightInd/>
        <w:spacing w:before="0" w:after="240"/>
        <w:jc w:val="center"/>
        <w:textAlignment w:val="auto"/>
        <w:rPr>
          <w:rFonts w:ascii="GHEA Grapalat" w:hAnsi="GHEA Grapalat"/>
          <w:i w:val="0"/>
          <w:noProof/>
          <w:sz w:val="24"/>
          <w:szCs w:val="22"/>
          <w:lang w:val="de-AT"/>
        </w:rPr>
      </w:pPr>
      <w:bookmarkStart w:id="3" w:name="_Toc71311879"/>
      <w:bookmarkStart w:id="4" w:name="_Toc102759882"/>
      <w:r w:rsidRPr="00BC3D9A">
        <w:rPr>
          <w:rFonts w:ascii="GHEA Grapalat" w:hAnsi="GHEA Grapalat"/>
          <w:i w:val="0"/>
          <w:noProof/>
          <w:sz w:val="24"/>
          <w:szCs w:val="22"/>
          <w:lang w:val="de-AT"/>
        </w:rPr>
        <w:t>ՄԱԿՐՈՏՆՏԵՍԱԿԱՆ ԶԱՐԳԱՑՈՒՄՆԵՐ</w:t>
      </w:r>
      <w:bookmarkEnd w:id="2"/>
      <w:bookmarkEnd w:id="3"/>
      <w:bookmarkEnd w:id="4"/>
    </w:p>
    <w:p w:rsidR="00BC3D9A" w:rsidRDefault="00BC3D9A" w:rsidP="00BC3D9A">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5" w:name="_Toc71283306"/>
      <w:bookmarkStart w:id="6" w:name="_Toc71311880"/>
      <w:bookmarkStart w:id="7" w:name="_Toc102759883"/>
    </w:p>
    <w:p w:rsidR="00BC3D9A" w:rsidRPr="00B57DAB" w:rsidRDefault="00BC3D9A" w:rsidP="00BC3D9A">
      <w:pPr>
        <w:pStyle w:val="Heading2"/>
        <w:overflowPunct/>
        <w:autoSpaceDE/>
        <w:autoSpaceDN/>
        <w:adjustRightInd/>
        <w:spacing w:before="360" w:after="240"/>
        <w:jc w:val="both"/>
        <w:textAlignment w:val="auto"/>
        <w:rPr>
          <w:rFonts w:ascii="GHEA Grapalat" w:hAnsi="GHEA Grapalat"/>
          <w:bCs/>
          <w:i w:val="0"/>
          <w:noProof/>
          <w:sz w:val="22"/>
          <w:szCs w:val="22"/>
          <w:lang w:val="de-AT"/>
        </w:rPr>
      </w:pPr>
      <w:r w:rsidRPr="00B57DAB">
        <w:rPr>
          <w:rFonts w:ascii="GHEA Grapalat" w:hAnsi="GHEA Grapalat"/>
          <w:bCs/>
          <w:i w:val="0"/>
          <w:noProof/>
          <w:sz w:val="22"/>
          <w:szCs w:val="22"/>
          <w:lang w:val="de-AT"/>
        </w:rPr>
        <w:t>Արտաքին միջավայրի զարգացումներ</w:t>
      </w:r>
      <w:bookmarkEnd w:id="5"/>
      <w:bookmarkEnd w:id="6"/>
      <w:bookmarkEnd w:id="7"/>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Տնտեսական զարգացումներ:</w:t>
      </w:r>
      <w:r w:rsidRPr="00B57DAB">
        <w:rPr>
          <w:rFonts w:ascii="GHEA Grapalat" w:hAnsi="GHEA Grapalat" w:cs="GHEA Grapalat"/>
          <w:sz w:val="22"/>
          <w:szCs w:val="22"/>
          <w:lang w:val="hy-AM"/>
        </w:rPr>
        <w:t xml:space="preserve"> 2022 թվականի առաջին եռամսյակում հիմնական գործընկեր երկրների տնտեսություններում նկատվել են տնտեսական աճեր, սակայն, ռուս-ուկրաինական հակամարտությամբ և դրա արդյունքում ՌԴ-ի նկատմամբ կիրառվող աննախադեպ պատժամիջոցների բացասական ազդեցություններով պայմանավորված, մարտ ամսից սկսել են դրսևորվել տնտեսական ակտիվության դանդաղման միտումներ</w:t>
      </w:r>
      <w:r>
        <w:rPr>
          <w:rFonts w:ascii="GHEA Grapalat" w:hAnsi="GHEA Grapalat" w:cs="GHEA Grapalat"/>
          <w:sz w:val="22"/>
          <w:szCs w:val="22"/>
          <w:lang w:val="hy-AM"/>
        </w:rPr>
        <w:t>: 2022 թվականի առաջին եռամսյակ</w:t>
      </w:r>
      <w:r w:rsidRPr="00BC3D9A">
        <w:rPr>
          <w:rFonts w:ascii="GHEA Grapalat" w:hAnsi="GHEA Grapalat" w:cs="GHEA Grapalat"/>
          <w:sz w:val="22"/>
          <w:szCs w:val="22"/>
          <w:lang w:val="hy-AM"/>
        </w:rPr>
        <w:t>ում</w:t>
      </w:r>
      <w:r w:rsidRPr="00B57DAB">
        <w:rPr>
          <w:rFonts w:ascii="GHEA Grapalat" w:hAnsi="GHEA Grapalat" w:cs="GHEA Grapalat"/>
          <w:sz w:val="22"/>
          <w:szCs w:val="22"/>
          <w:lang w:val="hy-AM"/>
        </w:rPr>
        <w:t xml:space="preserve"> նախորդ տարվա համապատասխան ժամանակահատվածի նկատմամբ ԱՄՆ տնտեսությունը գրանցել է 3.6% աճ, Եվրոգոտու տնտեսությունն աճել է 5%-ով</w:t>
      </w:r>
      <w:r w:rsidRPr="00B57DAB">
        <w:rPr>
          <w:rFonts w:ascii="GHEA Grapalat" w:hAnsi="GHEA Grapalat"/>
          <w:sz w:val="22"/>
          <w:szCs w:val="22"/>
          <w:vertAlign w:val="superscript"/>
          <w:lang w:val="hy-AM"/>
        </w:rPr>
        <w:footnoteReference w:id="1"/>
      </w:r>
      <w:r w:rsidRPr="00B57DAB">
        <w:rPr>
          <w:rFonts w:ascii="GHEA Grapalat" w:hAnsi="GHEA Grapalat" w:cs="GHEA Grapalat"/>
          <w:sz w:val="22"/>
          <w:szCs w:val="22"/>
          <w:lang w:val="hy-AM"/>
        </w:rPr>
        <w:t>, իսկ Չինաստանում գրանցվել է 4.8% տնտեսական աճ</w:t>
      </w:r>
      <w:r w:rsidRPr="00B57DAB">
        <w:rPr>
          <w:rFonts w:ascii="GHEA Grapalat" w:hAnsi="GHEA Grapalat"/>
          <w:sz w:val="22"/>
          <w:szCs w:val="22"/>
          <w:vertAlign w:val="superscript"/>
          <w:lang w:val="hy-AM"/>
        </w:rPr>
        <w:footnoteReference w:id="2"/>
      </w:r>
      <w:r w:rsidRPr="00B57DAB">
        <w:rPr>
          <w:rFonts w:ascii="GHEA Grapalat" w:hAnsi="GHEA Grapalat" w:cs="GHEA Grapalat"/>
          <w:sz w:val="22"/>
          <w:szCs w:val="22"/>
          <w:lang w:val="hy-AM"/>
        </w:rPr>
        <w:t>: Ռուսաստանի տնտեսությու</w:t>
      </w:r>
      <w:r>
        <w:rPr>
          <w:rFonts w:ascii="GHEA Grapalat" w:hAnsi="GHEA Grapalat" w:cs="GHEA Grapalat"/>
          <w:sz w:val="22"/>
          <w:szCs w:val="22"/>
          <w:lang w:val="hy-AM"/>
        </w:rPr>
        <w:t>նը 2022 թվականի առաջին եռամսյակ</w:t>
      </w:r>
      <w:r w:rsidRPr="00BC3D9A">
        <w:rPr>
          <w:rFonts w:ascii="GHEA Grapalat" w:hAnsi="GHEA Grapalat" w:cs="GHEA Grapalat"/>
          <w:sz w:val="22"/>
          <w:szCs w:val="22"/>
          <w:lang w:val="hy-AM"/>
        </w:rPr>
        <w:t>ում</w:t>
      </w:r>
      <w:r w:rsidRPr="00B57DAB">
        <w:rPr>
          <w:rFonts w:ascii="GHEA Grapalat" w:hAnsi="GHEA Grapalat" w:cs="GHEA Grapalat"/>
          <w:sz w:val="22"/>
          <w:szCs w:val="22"/>
          <w:lang w:val="hy-AM"/>
        </w:rPr>
        <w:t xml:space="preserve"> նախորդ տարվա նույն ժամանակահատվածի նկատմամբ 3.7% աճ է գրանցել, ընդ որում՝ եռամսյակի ընթացքում աճի զգալի դանդաղում է արձանագրել՝ Ռուսաստանի տնտեսական ակտիվությունն հունվարին աճել է 5.8%, փետրվարին՝ 4.3%, իսկ մարտին 1.6%-ով</w:t>
      </w:r>
      <w:r w:rsidRPr="00B57DAB">
        <w:rPr>
          <w:rFonts w:ascii="GHEA Grapalat" w:hAnsi="GHEA Grapalat"/>
          <w:sz w:val="22"/>
          <w:szCs w:val="22"/>
          <w:vertAlign w:val="superscript"/>
          <w:lang w:val="hy-AM"/>
        </w:rPr>
        <w:footnoteReference w:id="3"/>
      </w:r>
      <w:r w:rsidRPr="00B57DAB">
        <w:rPr>
          <w:rFonts w:cs="GHEA Grapalat"/>
          <w:sz w:val="22"/>
          <w:szCs w:val="22"/>
          <w:lang w:val="hy-AM"/>
        </w:rPr>
        <w:t>:</w:t>
      </w:r>
      <w:r w:rsidRPr="00B57DAB">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Միջազգային գներ</w:t>
      </w:r>
      <w:r w:rsidRPr="00B57DAB">
        <w:rPr>
          <w:rFonts w:ascii="GHEA Grapalat" w:hAnsi="GHEA Grapalat"/>
          <w:b/>
          <w:i/>
          <w:sz w:val="22"/>
          <w:szCs w:val="22"/>
          <w:vertAlign w:val="superscript"/>
          <w:lang w:val="hy-AM"/>
        </w:rPr>
        <w:footnoteReference w:id="4"/>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Հիմնականում պայմանավորված համաշխարհային տնտեսության վերականգմամբ՝ տարեսկզբից միջազգային շուկայում հումքային ապրանքների գների նախորդ տարվա աճի միտումը պահպանվում էր: ՌԴ-ի և Ուկրաինայի միջև հակամարտության արդյունքում մարտ ամսից տեղի է ունեցել միջազգային շուկաներում գների աճի տեմպի արագացում։ Նավթի միջազգային գները 2022 թվականի առաջին եռամսյակում աճել են միջինում 63.4%-ով՝ 2022 թվականի մարտին կազմելով 115.6 դոլար մեկ բարելի համար: Պղնձի միջազգային գները շարունակում են աճել, սակայն եռամսյակի սկզբի համեմատ ավելի դանդաղ տեմպերով</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2022 թվականի առաջին եռամսյակում պղնձի միջազգային գներն աճել են 17.8%-ով՝ 2022 թվականի մարտին կազմելով 10230.9 դոլար մեկ տոննայի համար։ Պարենի միջազգային գներն</w:t>
      </w:r>
      <w:r w:rsidRPr="00B57DAB">
        <w:rPr>
          <w:rFonts w:ascii="GHEA Grapalat" w:hAnsi="GHEA Grapalat"/>
          <w:sz w:val="22"/>
          <w:szCs w:val="22"/>
          <w:vertAlign w:val="superscript"/>
          <w:lang w:val="hy-AM"/>
        </w:rPr>
        <w:footnoteReference w:id="5"/>
      </w:r>
      <w:r w:rsidRPr="00B57DAB">
        <w:rPr>
          <w:rFonts w:ascii="GHEA Grapalat" w:hAnsi="GHEA Grapalat" w:cs="GHEA Grapalat"/>
          <w:sz w:val="22"/>
          <w:szCs w:val="22"/>
          <w:lang w:val="hy-AM"/>
        </w:rPr>
        <w:t xml:space="preserve"> ապրել են պատմական թռիչք՝ </w:t>
      </w:r>
      <w:r w:rsidRPr="00B57DAB">
        <w:rPr>
          <w:rFonts w:ascii="GHEA Grapalat" w:hAnsi="GHEA Grapalat" w:cs="GHEA Grapalat"/>
          <w:sz w:val="22"/>
          <w:szCs w:val="22"/>
          <w:lang w:val="hy-AM"/>
        </w:rPr>
        <w:lastRenderedPageBreak/>
        <w:t>գրանցելով 1990 թվականից ի վեր ամենաբարձր մակարդակը։ Այսպես, մարտ ամսին պարենի միջազգային գների ինդեքսը կազմել է 159.3 նախորդ ամսվա 141.0-ի դիմաց՝ մեծ</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մասամբ պայմանավորված բուսական յուղերի, հացահատիկի, մսի, շաքարավազի և կաթնամթերքի միջազգային գների բարձրաց</w:t>
      </w:r>
      <w:r w:rsidRPr="00BC3D9A">
        <w:rPr>
          <w:rFonts w:ascii="GHEA Grapalat" w:hAnsi="GHEA Grapalat" w:cs="GHEA Grapalat"/>
          <w:sz w:val="22"/>
          <w:szCs w:val="22"/>
          <w:lang w:val="hy-AM"/>
        </w:rPr>
        <w:t>մամբ</w:t>
      </w:r>
      <w:r w:rsidRPr="00B57DAB">
        <w:rPr>
          <w:rFonts w:ascii="GHEA Grapalat" w:hAnsi="GHEA Grapalat" w:cs="GHEA Grapalat"/>
          <w:sz w:val="22"/>
          <w:szCs w:val="22"/>
          <w:lang w:val="hy-AM"/>
        </w:rPr>
        <w:t>։</w:t>
      </w:r>
    </w:p>
    <w:p w:rsidR="00BC3D9A" w:rsidRPr="00B57DAB" w:rsidRDefault="00BC3D9A" w:rsidP="00BC3D9A">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8" w:name="_Toc71283307"/>
      <w:bookmarkStart w:id="9" w:name="_Toc71311881"/>
      <w:bookmarkStart w:id="10" w:name="_Toc102759884"/>
      <w:r w:rsidRPr="00B57DAB">
        <w:rPr>
          <w:rFonts w:ascii="GHEA Grapalat" w:hAnsi="GHEA Grapalat"/>
          <w:bCs/>
          <w:i w:val="0"/>
          <w:noProof/>
          <w:sz w:val="22"/>
          <w:szCs w:val="22"/>
          <w:lang w:val="de-AT"/>
        </w:rPr>
        <w:t>ՀՀ մակրոտնտեսական զարգացումներ</w:t>
      </w:r>
      <w:bookmarkEnd w:id="8"/>
      <w:bookmarkEnd w:id="9"/>
      <w:bookmarkEnd w:id="10"/>
    </w:p>
    <w:p w:rsidR="00BC3D9A" w:rsidRPr="00B57DAB" w:rsidRDefault="00BC3D9A" w:rsidP="00BC3D9A">
      <w:pPr>
        <w:pStyle w:val="Heading6"/>
        <w:ind w:left="567"/>
        <w:rPr>
          <w:rFonts w:ascii="GHEA Grapalat" w:hAnsi="GHEA Grapalat"/>
          <w:b/>
          <w:sz w:val="22"/>
          <w:szCs w:val="22"/>
          <w:u w:val="none"/>
        </w:rPr>
      </w:pPr>
      <w:bookmarkStart w:id="11" w:name="_Toc71311882"/>
      <w:r w:rsidRPr="00B57DAB">
        <w:rPr>
          <w:rFonts w:ascii="GHEA Grapalat" w:hAnsi="GHEA Grapalat"/>
          <w:b/>
          <w:sz w:val="22"/>
          <w:szCs w:val="22"/>
          <w:u w:val="none"/>
        </w:rPr>
        <w:t>Համախառն առաջարկ և պահանջարկ</w:t>
      </w:r>
      <w:bookmarkEnd w:id="11"/>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Համախառն առաջարկ:</w:t>
      </w:r>
      <w:r w:rsidRPr="00B57DAB">
        <w:rPr>
          <w:rFonts w:ascii="GHEA Grapalat" w:hAnsi="GHEA Grapalat" w:cs="GHEA Grapalat"/>
          <w:sz w:val="22"/>
          <w:szCs w:val="22"/>
          <w:lang w:val="hy-AM"/>
        </w:rPr>
        <w:t xml:space="preserve"> Տնտեսության վերականգնման բարձր տեմպերը շարունակվեցին 2022 թվականին, սակայն տարեսկզբին գրանցված երկնիշ աճի տեմպը ռուս-ուկրաինական պատերազմի և Ռուսաստանի դեմ կիրառված պատժամիջոցների բացասական ազդեցությունների արդյունքում սկսեց դանդաղել: Հունվար-մարտին նախորդ տարվա նույն ժամանակահատվածի համեմատ գրանցվեց տնտեսական ակտիվության ցուցանիշի (ՏԱՑ) 9.6% աճ (Գծապատկերներ 1</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4)։ Տնտեսական ակտիվության աճը հիմնականում պայմանավորված էր ծառայությունների աճով (նպաստումը` 10.2 տոկոսային կետ): Առևտրի, արդյունաբերության և շինարարության աճերը ևս նպաստեցին տնտեսական ակտիվությանը (համապատասխանաբար՝ 0.9, 0.7 և 0.4 տոկոսային կետ), մինչդեռ գյուղատնտեսության նվազումը 0.7 տոկոսային կետով հակազդեց տնտեսական ակտիվությանը:</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փետրվարի 24-ից մեկնարկած ռուս-ուկրաինական պատերազմի և Ռուսաստանի դեմ կիրառված պատժամիջոցների ազդեցությունները ՀՀ տնտեսության վրա նկատվեցին մարտ ամսից։ Մասնավորապես՝ մարտ ամսին գրանցվեց արդյունաբերության նվազում (նախորդ տարվա մարտի նկատմամբ 6.9%-ով)՝ պայմանավորված Թեղուտի հանքի գործունեության ժամանակավոր դադարեցմամբ,</w:t>
      </w:r>
      <w:r w:rsidRPr="00B57DAB" w:rsidDel="00630B41">
        <w:rPr>
          <w:rFonts w:ascii="GHEA Grapalat" w:hAnsi="GHEA Grapalat" w:cs="GHEA Grapalat"/>
          <w:sz w:val="22"/>
          <w:szCs w:val="22"/>
          <w:lang w:val="hy-AM"/>
        </w:rPr>
        <w:t xml:space="preserve"> </w:t>
      </w:r>
      <w:r w:rsidRPr="00B57DAB">
        <w:rPr>
          <w:rFonts w:ascii="GHEA Grapalat" w:hAnsi="GHEA Grapalat" w:cs="GHEA Grapalat"/>
          <w:sz w:val="22"/>
          <w:szCs w:val="22"/>
          <w:lang w:val="hy-AM"/>
        </w:rPr>
        <w:t>ՌԴ տնտեսական աճի դանդաղմամբ ու հումքային և պարենային ապրանքների մատակարարման շղթաների որոշ խաթարումներով:</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Մյուս կողմից ռուս-ուկրաինական հակամարտության արդյունքում դեպի ՀՀ զբոսաշրջիկների աճը (190%) դրական ազդեցություն ունեցա</w:t>
      </w:r>
      <w:r w:rsidRPr="00BC3D9A">
        <w:rPr>
          <w:rFonts w:ascii="GHEA Grapalat" w:hAnsi="GHEA Grapalat" w:cs="GHEA Grapalat"/>
          <w:sz w:val="22"/>
          <w:szCs w:val="22"/>
          <w:lang w:val="hy-AM"/>
        </w:rPr>
        <w:t>վ</w:t>
      </w:r>
      <w:r w:rsidRPr="00B57DAB">
        <w:rPr>
          <w:rFonts w:ascii="GHEA Grapalat" w:hAnsi="GHEA Grapalat" w:cs="GHEA Grapalat"/>
          <w:sz w:val="22"/>
          <w:szCs w:val="22"/>
          <w:lang w:val="hy-AM"/>
        </w:rPr>
        <w:t xml:space="preserve"> ծառայությունների որոշ տեսակների, առևտրի, ինչպես նաև ուղևորափոխադրումների վրա:</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Առաջին եռամսյակում կորոնավիրուսի համավարակի հինգերորդ ալիքի, ինչպես նաև բնակչության շրջանում պատվաստման աճող, սակայն դեռևս համեմատաբար ցածր մակարդակի (տե</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ս Ներդիր 1) ազդեցությունները տնտեսության զարգացումների վրա չեն նկատվել։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Արդյունաբերություն</w:t>
      </w:r>
      <w:r w:rsidRPr="00B57DAB">
        <w:rPr>
          <w:rFonts w:ascii="GHEA Grapalat" w:hAnsi="GHEA Grapalat" w:cs="GHEA Grapalat"/>
          <w:b/>
          <w:i/>
          <w:sz w:val="22"/>
          <w:szCs w:val="22"/>
          <w:vertAlign w:val="superscript"/>
          <w:lang w:val="hy-AM"/>
        </w:rPr>
        <w:footnoteReference w:id="6"/>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w:t>
      </w:r>
      <w:r w:rsidRPr="00B57DAB">
        <w:rPr>
          <w:rFonts w:ascii="GHEA Grapalat" w:hAnsi="GHEA Grapalat" w:cs="GHEA Grapalat"/>
          <w:sz w:val="22"/>
          <w:szCs w:val="22"/>
          <w:lang w:val="hy-AM"/>
        </w:rPr>
        <w:lastRenderedPageBreak/>
        <w:t>ազդեցություններով։ 2022</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թվականի հունվար-մարտին արդյունաբերության համախառն թողարկումն աճել է 3.1%-ով, ինչը հիմնականում պայմանավորված է եղել մշակող արդյունաբերության աճով (նպաստումը՝ 6.1 տոկոսային կետ): Միաժամանակ հանքագործական</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արդյունաբերություն և բացահանքերի շահագործում</w:t>
      </w:r>
      <w:r w:rsidRPr="00B57DAB" w:rsidDel="009C46B7">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ենթաճյուղի նվազումը բացասաբար է ազդել (3.6 տոկոսային կետով) արդյունաբերության աճի</w:t>
      </w:r>
      <w:r w:rsidRPr="00BC3D9A">
        <w:rPr>
          <w:rFonts w:ascii="GHEA Grapalat" w:hAnsi="GHEA Grapalat" w:cs="GHEA Grapalat"/>
          <w:sz w:val="22"/>
          <w:szCs w:val="22"/>
          <w:lang w:val="hy-AM"/>
        </w:rPr>
        <w:t xml:space="preserve"> վրա</w:t>
      </w:r>
      <w:r w:rsidRPr="00B57DAB">
        <w:rPr>
          <w:rFonts w:ascii="GHEA Grapalat" w:hAnsi="GHEA Grapalat" w:cs="GHEA Grapalat"/>
          <w:sz w:val="22"/>
          <w:szCs w:val="22"/>
          <w:lang w:val="hy-AM"/>
        </w:rPr>
        <w:t xml:space="preserve">: </w:t>
      </w:r>
    </w:p>
    <w:p w:rsidR="00BC3D9A" w:rsidRPr="00BC3D9A"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Մշակող արդյունաբերության աճին նպաստել են ինչպես ներքին, այնպես էլ արտաքին պահանջարկի աճերը: Ենթաճյուղի աճը հիմնականում պայմանավորված է եղել սննդամթերքի (նպաստումը` 3.0 տոկոսային կետ), հիմնային մետաղների (նպաստումը` 2.1 տոկոսային կետ), այլ ոչ մետաղական հանքային արտադրատեսակների (նպաստումը` 2.1 տոկոսային կետ), ինչպես նաև ոսկերչական արտադրատեսակների (նպաստումը` 1.4 տոկոսային կետ) արտադրության ծավալների աճով: </w:t>
      </w:r>
    </w:p>
    <w:p w:rsidR="00BC3D9A" w:rsidRPr="00BC3D9A" w:rsidRDefault="00BC3D9A" w:rsidP="00BC3D9A">
      <w:pPr>
        <w:ind w:firstLine="567"/>
        <w:jc w:val="both"/>
        <w:rPr>
          <w:rFonts w:ascii="GHEA Grapalat" w:hAnsi="GHEA Grapalat" w:cs="GHEA Grapalat"/>
          <w:sz w:val="22"/>
          <w:szCs w:val="22"/>
          <w:lang w:val="hy-AM"/>
        </w:rPr>
      </w:pPr>
    </w:p>
    <w:tbl>
      <w:tblPr>
        <w:tblStyle w:val="TableGrid1113112"/>
        <w:tblW w:w="10348" w:type="dxa"/>
        <w:tblInd w:w="137" w:type="dxa"/>
        <w:shd w:val="clear" w:color="auto" w:fill="DEEAF6" w:themeFill="accent1" w:themeFillTint="33"/>
        <w:tblLayout w:type="fixed"/>
        <w:tblLook w:val="04A0" w:firstRow="1" w:lastRow="0" w:firstColumn="1" w:lastColumn="0" w:noHBand="0" w:noVBand="1"/>
      </w:tblPr>
      <w:tblGrid>
        <w:gridCol w:w="10348"/>
      </w:tblGrid>
      <w:tr w:rsidR="00BC3D9A" w:rsidRPr="00BC3D9A" w:rsidTr="00BC3D9A">
        <w:trPr>
          <w:trHeight w:val="375"/>
        </w:trPr>
        <w:tc>
          <w:tcPr>
            <w:tcW w:w="103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BC3D9A" w:rsidRPr="00B57DAB" w:rsidRDefault="00BC3D9A" w:rsidP="00BC3D9A">
            <w:pPr>
              <w:tabs>
                <w:tab w:val="right" w:pos="0"/>
              </w:tabs>
              <w:spacing w:before="80" w:after="80"/>
              <w:ind w:firstLine="360"/>
              <w:jc w:val="center"/>
              <w:rPr>
                <w:rFonts w:ascii="GHEA Grapalat" w:hAnsi="GHEA Grapalat" w:cs="Sylfaen"/>
                <w:sz w:val="18"/>
                <w:szCs w:val="18"/>
                <w:lang w:val="hy-AM"/>
              </w:rPr>
            </w:pPr>
            <w:r w:rsidRPr="00B57DAB">
              <w:rPr>
                <w:rFonts w:ascii="GHEA Grapalat" w:hAnsi="GHEA Grapalat" w:cs="Sylfaen"/>
                <w:b/>
                <w:sz w:val="18"/>
                <w:szCs w:val="18"/>
                <w:lang w:val="hy-AM"/>
              </w:rPr>
              <w:t xml:space="preserve">Ներդիր 1. Կորոնավիրուսային համավարակի </w:t>
            </w:r>
            <w:r w:rsidRPr="00B57DAB">
              <w:rPr>
                <w:rFonts w:ascii="GHEA Grapalat" w:hAnsi="GHEA Grapalat" w:cs="Sylfaen"/>
                <w:b/>
                <w:sz w:val="18"/>
                <w:szCs w:val="18"/>
                <w:lang w:val="sk-SK"/>
              </w:rPr>
              <w:t>(COVID-19)</w:t>
            </w:r>
            <w:r w:rsidRPr="00B57DAB">
              <w:rPr>
                <w:rFonts w:ascii="GHEA Grapalat" w:hAnsi="GHEA Grapalat" w:cs="Sylfaen"/>
                <w:b/>
                <w:sz w:val="18"/>
                <w:szCs w:val="18"/>
                <w:lang w:val="hy-AM"/>
              </w:rPr>
              <w:t xml:space="preserve"> զարգացման դինամիկան ՀՀ-ում</w:t>
            </w:r>
          </w:p>
        </w:tc>
      </w:tr>
      <w:tr w:rsidR="00BC3D9A" w:rsidRPr="00BC3D9A" w:rsidTr="00BC3D9A">
        <w:tc>
          <w:tcPr>
            <w:tcW w:w="103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C3D9A" w:rsidRPr="00B57DAB" w:rsidRDefault="00BC3D9A" w:rsidP="00BC3D9A">
            <w:pPr>
              <w:tabs>
                <w:tab w:val="right" w:pos="0"/>
                <w:tab w:val="left" w:pos="270"/>
              </w:tabs>
              <w:spacing w:before="120"/>
              <w:ind w:firstLine="187"/>
              <w:rPr>
                <w:rFonts w:ascii="GHEA Grapalat" w:hAnsi="GHEA Grapalat" w:cs="Sylfaen"/>
                <w:bCs/>
                <w:sz w:val="18"/>
                <w:szCs w:val="18"/>
                <w:lang w:val="hy-AM"/>
              </w:rPr>
            </w:pPr>
            <w:r w:rsidRPr="00B57DAB">
              <w:rPr>
                <w:rFonts w:ascii="GHEA Grapalat" w:hAnsi="GHEA Grapalat" w:cs="Sylfaen"/>
                <w:bCs/>
                <w:sz w:val="18"/>
                <w:szCs w:val="18"/>
                <w:lang w:val="hy-AM"/>
              </w:rPr>
              <w:t>ՀՀ-ում կորոնավիրուսի համավարակի տարածումը շարունակվում է նաև 2022</w:t>
            </w:r>
            <w:r w:rsidRPr="00BC3D9A">
              <w:rPr>
                <w:rFonts w:ascii="GHEA Grapalat" w:hAnsi="GHEA Grapalat" w:cs="Sylfaen"/>
                <w:bCs/>
                <w:sz w:val="18"/>
                <w:szCs w:val="18"/>
                <w:lang w:val="hy-AM"/>
              </w:rPr>
              <w:t xml:space="preserve"> </w:t>
            </w:r>
            <w:r w:rsidRPr="00B57DAB">
              <w:rPr>
                <w:rFonts w:ascii="GHEA Grapalat" w:hAnsi="GHEA Grapalat" w:cs="Sylfaen"/>
                <w:bCs/>
                <w:sz w:val="18"/>
                <w:szCs w:val="18"/>
                <w:lang w:val="hy-AM"/>
              </w:rPr>
              <w:t>թվականին:</w:t>
            </w:r>
          </w:p>
          <w:p w:rsidR="00BC3D9A" w:rsidRPr="00B57DAB" w:rsidRDefault="00BC3D9A" w:rsidP="00BC3D9A">
            <w:pPr>
              <w:tabs>
                <w:tab w:val="right" w:pos="0"/>
                <w:tab w:val="left" w:pos="270"/>
              </w:tabs>
              <w:spacing w:before="120"/>
              <w:ind w:firstLine="187"/>
              <w:jc w:val="center"/>
              <w:rPr>
                <w:rFonts w:ascii="GHEA Grapalat" w:hAnsi="GHEA Grapalat" w:cs="Sylfaen"/>
                <w:bCs/>
                <w:sz w:val="18"/>
                <w:szCs w:val="18"/>
                <w:lang w:val="hy-AM"/>
              </w:rPr>
            </w:pPr>
            <w:r w:rsidRPr="00B57DAB">
              <w:rPr>
                <w:rFonts w:ascii="GHEA Grapalat" w:hAnsi="GHEA Grapalat"/>
                <w:noProof/>
                <w:shd w:val="clear" w:color="auto" w:fill="D9D9D9"/>
              </w:rPr>
              <w:drawing>
                <wp:inline distT="0" distB="0" distL="0" distR="0" wp14:anchorId="6AC3A2D2" wp14:editId="6E4A5257">
                  <wp:extent cx="5902960" cy="2560320"/>
                  <wp:effectExtent l="0" t="0" r="2540" b="1143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C3D9A" w:rsidRPr="00B57DAB" w:rsidRDefault="00BC3D9A" w:rsidP="00BC3D9A">
            <w:pPr>
              <w:tabs>
                <w:tab w:val="right" w:pos="0"/>
                <w:tab w:val="left" w:pos="270"/>
              </w:tabs>
              <w:ind w:firstLine="187"/>
              <w:rPr>
                <w:rFonts w:ascii="GHEA Grapalat" w:hAnsi="GHEA Grapalat" w:cs="Sylfaen"/>
                <w:bCs/>
                <w:sz w:val="18"/>
                <w:szCs w:val="18"/>
                <w:lang w:val="hy-AM"/>
              </w:rPr>
            </w:pPr>
            <w:r w:rsidRPr="00B57DAB">
              <w:rPr>
                <w:rFonts w:ascii="GHEA Grapalat" w:hAnsi="GHEA Grapalat"/>
                <w:i/>
                <w:sz w:val="18"/>
                <w:szCs w:val="18"/>
                <w:lang w:val="hy-AM"/>
              </w:rPr>
              <w:t>Աղբյուրը՝ ՀՀ առողջապահության նախարարություն</w:t>
            </w:r>
          </w:p>
          <w:p w:rsidR="00BC3D9A" w:rsidRPr="00B57DAB" w:rsidRDefault="00BC3D9A" w:rsidP="00BC3D9A">
            <w:pPr>
              <w:tabs>
                <w:tab w:val="right" w:pos="0"/>
              </w:tabs>
              <w:spacing w:before="120"/>
              <w:ind w:firstLine="187"/>
              <w:jc w:val="both"/>
              <w:rPr>
                <w:rFonts w:ascii="GHEA Grapalat" w:hAnsi="GHEA Grapalat"/>
                <w:sz w:val="18"/>
                <w:szCs w:val="18"/>
                <w:lang w:val="hy-AM"/>
              </w:rPr>
            </w:pPr>
            <w:r w:rsidRPr="00B57DAB">
              <w:rPr>
                <w:rFonts w:ascii="GHEA Grapalat" w:hAnsi="GHEA Grapalat"/>
                <w:sz w:val="18"/>
                <w:szCs w:val="18"/>
                <w:lang w:val="hy-AM"/>
              </w:rPr>
              <w:t xml:space="preserve">ՀՀ-ում գրանցվեց նաև համավարակի հինգերորդ ալիքը: Հիվանդության հաստատված դեպքերի ընդհանուր թիվը մայիսի 4-ի դրությամբ կազմել է 422,877 մարդ։ </w:t>
            </w:r>
          </w:p>
          <w:p w:rsidR="00BC3D9A" w:rsidRPr="00B57DAB" w:rsidRDefault="00BC3D9A" w:rsidP="00BC3D9A">
            <w:pPr>
              <w:tabs>
                <w:tab w:val="right" w:pos="0"/>
              </w:tabs>
              <w:spacing w:after="60"/>
              <w:ind w:firstLine="187"/>
              <w:jc w:val="both"/>
              <w:rPr>
                <w:rFonts w:ascii="GHEA Grapalat" w:hAnsi="GHEA Grapalat" w:cs="Sylfaen"/>
                <w:sz w:val="18"/>
                <w:szCs w:val="18"/>
                <w:lang w:val="hy-AM"/>
              </w:rPr>
            </w:pPr>
            <w:r w:rsidRPr="00B57DAB">
              <w:rPr>
                <w:rFonts w:ascii="GHEA Grapalat" w:hAnsi="GHEA Grapalat"/>
                <w:sz w:val="18"/>
                <w:szCs w:val="18"/>
                <w:lang w:val="hy-AM"/>
              </w:rPr>
              <w:t xml:space="preserve">2021-2025 թվականներին իմունականխարգելման ազգային ծրագրով նախատեսվում է </w:t>
            </w:r>
            <w:r w:rsidRPr="00B57DAB">
              <w:rPr>
                <w:rFonts w:ascii="GHEA Grapalat" w:hAnsi="GHEA Grapalat" w:cs="Sylfaen"/>
                <w:sz w:val="18"/>
                <w:szCs w:val="18"/>
                <w:lang w:val="hy-AM"/>
              </w:rPr>
              <w:t>կորոնավիրուսային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հիվանդության</w:t>
            </w:r>
            <w:r w:rsidRPr="00B57DAB">
              <w:rPr>
                <w:rFonts w:ascii="GHEA Grapalat" w:hAnsi="GHEA Grapalat"/>
                <w:sz w:val="18"/>
                <w:szCs w:val="18"/>
                <w:lang w:val="hy-AM"/>
              </w:rPr>
              <w:t xml:space="preserve"> (COVID-19) </w:t>
            </w:r>
            <w:r w:rsidRPr="00B57DAB">
              <w:rPr>
                <w:rFonts w:ascii="GHEA Grapalat" w:hAnsi="GHEA Grapalat" w:cs="Sylfaen"/>
                <w:sz w:val="18"/>
                <w:szCs w:val="18"/>
                <w:lang w:val="hy-AM"/>
              </w:rPr>
              <w:t>համաճարակային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իրավիճակի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գնահատում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և</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բնակչության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ռիսկի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խմբերի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շրջանում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համաճարակաբանական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ցուցումով</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զանգվածային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պատվաստումների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 xml:space="preserve">իրականացում, ինչի շրջանակներում՝ </w:t>
            </w:r>
          </w:p>
          <w:p w:rsidR="00BC3D9A" w:rsidRPr="00B57DAB" w:rsidRDefault="00BC3D9A" w:rsidP="00BC3D9A">
            <w:pPr>
              <w:numPr>
                <w:ilvl w:val="0"/>
                <w:numId w:val="17"/>
              </w:numPr>
              <w:tabs>
                <w:tab w:val="right" w:pos="0"/>
              </w:tabs>
              <w:spacing w:after="200" w:line="276" w:lineRule="auto"/>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 xml:space="preserve">ՀՀ ներկրվել են </w:t>
            </w:r>
            <w:r w:rsidRPr="00B57DAB">
              <w:rPr>
                <w:rFonts w:ascii="GHEA Grapalat" w:hAnsi="GHEA Grapalat" w:cs="Segoe UI Historic"/>
                <w:sz w:val="18"/>
                <w:szCs w:val="18"/>
                <w:lang w:val="hy-AM"/>
              </w:rPr>
              <w:t xml:space="preserve">«AstraZeneca», </w:t>
            </w:r>
            <w:r w:rsidRPr="00B57DAB">
              <w:rPr>
                <w:rFonts w:ascii="GHEA Grapalat" w:eastAsia="Calibri" w:hAnsi="GHEA Grapalat" w:cs="Segoe UI Historic"/>
                <w:sz w:val="18"/>
                <w:szCs w:val="18"/>
                <w:lang w:val="hy-AM"/>
              </w:rPr>
              <w:t>«CoronaVac», «Sinopharm», «Sputnik-V», «Sputnik Light», «Moderna», «Spikevax» և</w:t>
            </w:r>
            <w:r>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«Pfizer»</w:t>
            </w:r>
            <w:r>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պատվաստանյութեր։</w:t>
            </w:r>
          </w:p>
          <w:p w:rsidR="00BC3D9A" w:rsidRPr="00B57DAB" w:rsidRDefault="00BC3D9A" w:rsidP="00BC3D9A">
            <w:pPr>
              <w:numPr>
                <w:ilvl w:val="0"/>
                <w:numId w:val="17"/>
              </w:numPr>
              <w:tabs>
                <w:tab w:val="right" w:pos="0"/>
              </w:tabs>
              <w:spacing w:after="200" w:line="276" w:lineRule="auto"/>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Կորոնավիրուսային հիվանդության տարածման ռիսկը նվազեցնելու նպատակով 2021 թվականի հոկտեմբերի 1-ից սահմանվել են պարտադիր պատվաստման կամ ՊՇՌ թեստերի իրականացման պահանջներ: ՀՀ կորոնավիրուսային հիվանդությամբ (COVID-19) պայմանավորված համաճարակային իրավիճակը հարաբերականորեն կայունացել է և 2022 թվականի ապրիլի 30-ից ուժը կորցրել է աշխատողների աշխատավայր ներկայանալիս ՊՇՌ հետազոտության կամ պատվաստման սերտիֆիկատ ներկայացնելու պահանջը:</w:t>
            </w:r>
          </w:p>
          <w:p w:rsidR="00BC3D9A" w:rsidRPr="00B57DAB" w:rsidRDefault="00BC3D9A" w:rsidP="00BC3D9A">
            <w:pPr>
              <w:numPr>
                <w:ilvl w:val="0"/>
                <w:numId w:val="17"/>
              </w:numPr>
              <w:tabs>
                <w:tab w:val="right" w:pos="0"/>
              </w:tabs>
              <w:spacing w:after="200" w:line="276" w:lineRule="auto"/>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2022 թվականի մայիսի 1-ի դրությամբ կատարվել է 2,176,391 պատվաստում, որից առաջին դեղաչափ` 1,128,329 (ՀՀ մշտական բնակչության 38.1%-ը), երկրորդ դեղաչափ` 996,530 (ՀՀ մշտական բնակչության 33</w:t>
            </w:r>
            <w:r w:rsidRPr="00B57DAB">
              <w:rPr>
                <w:rFonts w:ascii="Cambria Math" w:eastAsia="MS Mincho" w:hAnsi="Cambria Math" w:cs="Cambria Math"/>
                <w:sz w:val="18"/>
                <w:szCs w:val="18"/>
                <w:lang w:val="hy-AM"/>
              </w:rPr>
              <w:t>․</w:t>
            </w:r>
            <w:r w:rsidRPr="00B57DAB">
              <w:rPr>
                <w:rFonts w:ascii="GHEA Grapalat" w:eastAsia="Calibri" w:hAnsi="GHEA Grapalat" w:cs="Segoe UI Historic"/>
                <w:sz w:val="18"/>
                <w:szCs w:val="18"/>
                <w:lang w:val="hy-AM"/>
              </w:rPr>
              <w:t>6%-ը), երրորդ դեղաչափ (բուստեր)՝ 48,020 (ՀՀ մշտական բնակչության 1.6%-ը):</w:t>
            </w:r>
          </w:p>
        </w:tc>
      </w:tr>
    </w:tbl>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lastRenderedPageBreak/>
        <w:t>Գյուղատնտեսություն։</w:t>
      </w:r>
      <w:r w:rsidRPr="00B57DAB">
        <w:rPr>
          <w:rFonts w:ascii="GHEA Grapalat" w:hAnsi="GHEA Grapalat" w:cs="GHEA Grapalat"/>
          <w:sz w:val="22"/>
          <w:szCs w:val="22"/>
          <w:lang w:val="hy-AM"/>
        </w:rPr>
        <w:t xml:space="preserve"> Գյուղատնտեսության, անտառային տնտեսության և ձկնորսության համախառն արտադրանքը նվազել է 0.8%-ով՝ հիմնականում պայմանավորված անասնաբուծության և բուսաբուծության նվազմամբ (նպաստումները` համապատասխանաբար՝ 2.3 և 2.2 տոկոսային կետեր)։ Անասնաբուծության նվազումն իր հերթին պայմանավորված է եղել կաթի արտադրության և սպանդի համար նախատեսված գյուղատնտեսական կենդանի և թռչնի</w:t>
      </w:r>
      <w:r w:rsidRPr="00B57DAB" w:rsidDel="004E0F55">
        <w:rPr>
          <w:rFonts w:ascii="GHEA Grapalat" w:hAnsi="GHEA Grapalat" w:cs="GHEA Grapalat"/>
          <w:sz w:val="22"/>
          <w:szCs w:val="22"/>
          <w:lang w:val="hy-AM"/>
        </w:rPr>
        <w:t xml:space="preserve"> </w:t>
      </w:r>
      <w:r w:rsidRPr="00B57DAB">
        <w:rPr>
          <w:rFonts w:ascii="GHEA Grapalat" w:hAnsi="GHEA Grapalat" w:cs="GHEA Grapalat"/>
          <w:sz w:val="22"/>
          <w:szCs w:val="22"/>
          <w:lang w:val="hy-AM"/>
        </w:rPr>
        <w:t>նվազմամբ: Ձկնորսության աճը զգալիորեն հակազդել է ընդհանուր ճյուղի նվազմանը (նպաստումը` 3.5 տոկոսային կետ)։</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Շինարարություն։</w:t>
      </w:r>
      <w:r w:rsidRPr="00B57DAB">
        <w:rPr>
          <w:rFonts w:ascii="GHEA Grapalat" w:hAnsi="GHEA Grapalat" w:cs="GHEA Grapalat"/>
          <w:sz w:val="22"/>
          <w:szCs w:val="22"/>
          <w:lang w:val="hy-AM"/>
        </w:rPr>
        <w:t xml:space="preserve"> Շինարարության ճյուղում գրանցված 6.2% աճը պայմանավորված է եղել հիմնականում կազմակերպությունների միջոցներով</w:t>
      </w:r>
      <w:r w:rsidRPr="00B57DAB" w:rsidDel="000521F3">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իրականացված շինարարության ծավալների աճով (նպաստումը` 12.9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հիփոթեքային և շինարարության ոլորտի վարկերի աճը)։ Մինչդեռ պետական բյուջեի և բնակչության միջոցներով իրականացված շինարարության ծավալների նվազումները հակազդել են ընդհանուր շինարարության աճին (նպաստումները` համապատասխանաբար 4.4 և 2.7 տոկոսային կետեր)։ Ընդ որում՝ պետական բյուջեի միջոցներով ֆինանսավորվող շինարարության նվազումը պայմանավորված է եղել միջազգային վարկերով ֆինանսավորվող շինարարության նվազմամբ։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բնակարաշինություն), տրանսպորտի (հիմնականում՝ ճանապարհաշինություն), ինչպես նաև տեղեկատվություն և կապ ոլորտում իրականացված շինարարության ծավալների աճը։ Մինչդեռ էլեկտրականության, գազի, գոլորշու և լավորակ օդի մատակարարում, հանքագործական արդյունաբերություն և բացահանքերի շահագործում, ինչպես նաև մշակույթ, զվարճություններ և հանգիստ ենթաճյուղերում իրականացված շինարարության նվազումները հակազդել են ընդհանուր շինարարության աճին (նպաստումները` համապատասխանաբար՝ 5.9, 2.2 և 1.8 տոկոսային կետեր)։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Ծառայություններ և առևտուր։</w:t>
      </w:r>
      <w:r w:rsidRPr="00B57DAB">
        <w:rPr>
          <w:rFonts w:ascii="GHEA Grapalat" w:hAnsi="GHEA Grapalat" w:cs="GHEA Grapalat"/>
          <w:sz w:val="22"/>
          <w:szCs w:val="22"/>
          <w:lang w:val="hy-AM"/>
        </w:rPr>
        <w:t xml:space="preserve"> Ծառայություններն աճել են 22.2%-ով՝ հիմնականում պայմանավորված տրանսպորտ (նպաստումը` 5.3 տոկոսային կետ), տեղեկատվություն և կապ (նպաստումը` 4.5 տոկոսային կետ), ֆինանսական և ապահովագրական գործունեություն (նպաստումը` 4.1 տոկոսային կետ), ինչպես նաև կացության և հանրային սննդի կազմակերպում (նպաստումը` 3.0 տոկոսային կետ) ենթաճյուղերի աճով, իսկ առևտրի 7.6% աճը հիմնականում պայմանավորված է եղել մեծածախ առևտրի և ավտոմեքենաների առևտրի աճով (նպաստումները համապատասխանաբար՝ 5.0 և 2.0 տոկոսային կետեր)։ Առևտրի և ծառայությունների աճն ուղեկցվել </w:t>
      </w:r>
      <w:r w:rsidRPr="00B57DAB">
        <w:rPr>
          <w:rFonts w:ascii="GHEA Grapalat" w:hAnsi="GHEA Grapalat" w:cs="GHEA Grapalat"/>
          <w:sz w:val="22"/>
          <w:szCs w:val="22"/>
          <w:lang w:val="hy-AM"/>
        </w:rPr>
        <w:lastRenderedPageBreak/>
        <w:t xml:space="preserve">է ներքին (մասնավորապես, մասնավոր սպառման) և արտաքին (մասնավորապես՝ ծառայությունների արտահանման) պահանջարկի աճով: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Հաշվետու ժամանակահատվածում բեռնափոխադրումների և ուղևորափոխադրումների ծավալներն աճել են: Բեռնափոխադրումների ծավալի 14.7% աճը հիմնականում պայմանավորված է եղել ներհանրապետական ավտոմոբիլային բեռնափոխադրումների աճով (նպաստումը՝ 11.5 տոկոսային կետ): Ուղևորափոխադրումների ծավալն աճել է 40.0%-ով՝ հիմնականում պայմանավորված ավտոմոբիլային տրանսպորտային միջոցներով (նպաստումը՝ 34.2 տոկոսային կետ) իրականացված ուղևորափոխադրումների աճով:</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Զբոսաշրջիկների այցելությունների բարձր աճն (190.0%) իր հերթին դրական ազդեցություն է ունեցել ծառայությունների որոշ տեսակների, առևտրի, ինչպես նաև ուղևորափոխադրումների վրա:</w:t>
      </w:r>
    </w:p>
    <w:p w:rsidR="00BC3D9A" w:rsidRPr="00B57DAB" w:rsidRDefault="00BC3D9A" w:rsidP="00BC3D9A">
      <w:pPr>
        <w:ind w:firstLine="567"/>
        <w:jc w:val="both"/>
        <w:rPr>
          <w:rFonts w:ascii="GHEA Grapalat" w:hAnsi="GHEA Grapalat" w:cs="GHEA Grapalat"/>
          <w:sz w:val="22"/>
          <w:szCs w:val="22"/>
          <w:lang w:val="hy-AM"/>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95"/>
        <w:gridCol w:w="4995"/>
      </w:tblGrid>
      <w:tr w:rsidR="00BC3D9A" w:rsidRPr="00B57DAB" w:rsidTr="00BC3D9A">
        <w:trPr>
          <w:trHeight w:val="4204"/>
        </w:trPr>
        <w:tc>
          <w:tcPr>
            <w:tcW w:w="5237" w:type="dxa"/>
          </w:tcPr>
          <w:p w:rsidR="00BC3D9A" w:rsidRPr="00B57DAB" w:rsidRDefault="00BC3D9A" w:rsidP="00BC3D9A">
            <w:pPr>
              <w:pStyle w:val="a8"/>
              <w:rPr>
                <w:i/>
                <w:lang w:val="hy-AM"/>
              </w:rPr>
            </w:pPr>
            <w:r w:rsidRPr="00BC3D9A">
              <w:rPr>
                <w:b/>
                <w:i/>
                <w:lang w:val="hy-AM"/>
              </w:rPr>
              <w:t xml:space="preserve">Գծապատկեր 1. </w:t>
            </w:r>
            <w:r w:rsidRPr="00BC3D9A">
              <w:rPr>
                <w:lang w:val="hy-AM"/>
              </w:rPr>
              <w:t xml:space="preserve">ՏԱՑ և տնտեսության ճյուղերի իրական աճերը նախորդ տարվա նույն ժամանակահատվածի նկատմամբ (%) </w:t>
            </w:r>
          </w:p>
          <w:p w:rsidR="00BC3D9A" w:rsidRPr="00B57DAB" w:rsidRDefault="00BC3D9A" w:rsidP="00BC3D9A">
            <w:pPr>
              <w:tabs>
                <w:tab w:val="right" w:pos="0"/>
              </w:tabs>
              <w:spacing w:before="120" w:after="60"/>
              <w:contextualSpacing/>
              <w:rPr>
                <w:rFonts w:ascii="GHEA Grapalat" w:hAnsi="GHEA Grapalat"/>
                <w:sz w:val="16"/>
                <w:szCs w:val="16"/>
                <w:lang w:val="hy-AM"/>
              </w:rPr>
            </w:pPr>
            <w:r w:rsidRPr="00B57DAB">
              <w:rPr>
                <w:rFonts w:ascii="GHEA Grapalat" w:hAnsi="GHEA Grapalat"/>
                <w:noProof/>
              </w:rPr>
              <w:drawing>
                <wp:inline distT="0" distB="0" distL="0" distR="0" wp14:anchorId="3445BDB4" wp14:editId="728B8405">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3D9A" w:rsidRPr="00B57DAB" w:rsidRDefault="00BC3D9A" w:rsidP="00BC3D9A">
            <w:pPr>
              <w:tabs>
                <w:tab w:val="right" w:pos="0"/>
              </w:tabs>
              <w:contextualSpacing/>
              <w:jc w:val="both"/>
              <w:rPr>
                <w:rFonts w:ascii="GHEA Grapalat" w:hAnsi="GHEA Grapalat" w:cs="Sylfaen"/>
                <w:i/>
                <w:sz w:val="16"/>
                <w:szCs w:val="16"/>
              </w:rPr>
            </w:pPr>
            <w:proofErr w:type="spellStart"/>
            <w:r w:rsidRPr="00B57DAB">
              <w:rPr>
                <w:rFonts w:ascii="GHEA Grapalat" w:hAnsi="GHEA Grapalat"/>
                <w:i/>
                <w:sz w:val="16"/>
                <w:szCs w:val="16"/>
              </w:rPr>
              <w:t>Աղբյուրը</w:t>
            </w:r>
            <w:proofErr w:type="spellEnd"/>
            <w:r w:rsidRPr="00B57DAB">
              <w:rPr>
                <w:rFonts w:ascii="GHEA Grapalat" w:hAnsi="GHEA Grapalat"/>
                <w:i/>
                <w:sz w:val="16"/>
                <w:szCs w:val="16"/>
              </w:rPr>
              <w:t>՝ ՀՀ ՎԿ</w:t>
            </w:r>
          </w:p>
        </w:tc>
        <w:tc>
          <w:tcPr>
            <w:tcW w:w="5008" w:type="dxa"/>
          </w:tcPr>
          <w:p w:rsidR="00BC3D9A" w:rsidRPr="00B57DAB" w:rsidRDefault="00BC3D9A" w:rsidP="00BC3D9A">
            <w:pPr>
              <w:pStyle w:val="a8"/>
            </w:pPr>
            <w:r w:rsidRPr="00B57DAB">
              <w:rPr>
                <w:b/>
                <w:i/>
              </w:rPr>
              <w:t xml:space="preserve">Գծապատկեր 2. </w:t>
            </w:r>
            <w:r w:rsidRPr="00B57DAB">
              <w:t>ՏԱՑ և տնտեսության ճյուղերի իրական աճերը նախորդ տարվա նույն ամսվա նկատմամբ (%)</w:t>
            </w:r>
          </w:p>
          <w:p w:rsidR="00BC3D9A" w:rsidRPr="00B57DAB" w:rsidRDefault="00BC3D9A" w:rsidP="00BC3D9A">
            <w:pPr>
              <w:jc w:val="both"/>
              <w:rPr>
                <w:rFonts w:ascii="GHEA Grapalat" w:hAnsi="GHEA Grapalat"/>
                <w:i/>
                <w:sz w:val="16"/>
                <w:szCs w:val="16"/>
              </w:rPr>
            </w:pPr>
            <w:r w:rsidRPr="00B57DAB">
              <w:rPr>
                <w:rFonts w:ascii="GHEA Grapalat" w:hAnsi="GHEA Grapalat"/>
                <w:noProof/>
                <w:sz w:val="16"/>
                <w:szCs w:val="16"/>
              </w:rPr>
              <w:drawing>
                <wp:anchor distT="0" distB="0" distL="114300" distR="114300" simplePos="0" relativeHeight="251659264" behindDoc="1" locked="0" layoutInCell="1" allowOverlap="1" wp14:anchorId="6D54A7A7" wp14:editId="63B0AAFA">
                  <wp:simplePos x="0" y="0"/>
                  <wp:positionH relativeFrom="column">
                    <wp:posOffset>2540</wp:posOffset>
                  </wp:positionH>
                  <wp:positionV relativeFrom="paragraph">
                    <wp:posOffset>-5715</wp:posOffset>
                  </wp:positionV>
                  <wp:extent cx="3017520" cy="1861820"/>
                  <wp:effectExtent l="0" t="0" r="0" b="5080"/>
                  <wp:wrapTight wrapText="bothSides">
                    <wp:wrapPolygon edited="0">
                      <wp:start x="0" y="0"/>
                      <wp:lineTo x="0" y="21659"/>
                      <wp:lineTo x="21545" y="21659"/>
                      <wp:lineTo x="21545"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roofErr w:type="spellStart"/>
            <w:r w:rsidRPr="00B57DAB">
              <w:rPr>
                <w:rFonts w:ascii="GHEA Grapalat" w:hAnsi="GHEA Grapalat"/>
                <w:i/>
                <w:sz w:val="16"/>
                <w:szCs w:val="16"/>
              </w:rPr>
              <w:t>Աղբյուրը</w:t>
            </w:r>
            <w:proofErr w:type="spellEnd"/>
            <w:r w:rsidRPr="00B57DAB">
              <w:rPr>
                <w:rFonts w:ascii="GHEA Grapalat" w:hAnsi="GHEA Grapalat"/>
                <w:i/>
                <w:sz w:val="16"/>
                <w:szCs w:val="16"/>
              </w:rPr>
              <w:t>՝ ՀՀ ՎԿ</w:t>
            </w:r>
            <w:r w:rsidRPr="00B57DAB" w:rsidDel="00DA0563">
              <w:rPr>
                <w:rFonts w:ascii="GHEA Grapalat" w:hAnsi="GHEA Grapalat"/>
                <w:i/>
                <w:sz w:val="16"/>
                <w:szCs w:val="16"/>
              </w:rPr>
              <w:t xml:space="preserve"> </w:t>
            </w:r>
          </w:p>
        </w:tc>
      </w:tr>
      <w:tr w:rsidR="00BC3D9A" w:rsidRPr="00BC3D9A" w:rsidTr="00BC3D9A">
        <w:trPr>
          <w:trHeight w:val="126"/>
        </w:trPr>
        <w:tc>
          <w:tcPr>
            <w:tcW w:w="5237" w:type="dxa"/>
          </w:tcPr>
          <w:p w:rsidR="00BC3D9A" w:rsidRPr="00B57DAB" w:rsidRDefault="00BC3D9A" w:rsidP="00BC3D9A">
            <w:pPr>
              <w:tabs>
                <w:tab w:val="right" w:pos="0"/>
              </w:tabs>
              <w:spacing w:after="60"/>
              <w:contextualSpacing/>
              <w:rPr>
                <w:rFonts w:ascii="GHEA Grapalat" w:hAnsi="GHEA Grapalat" w:cs="Sylfaen"/>
                <w:b/>
                <w:bCs/>
                <w:i/>
                <w:sz w:val="6"/>
                <w:szCs w:val="6"/>
                <w:lang w:val="hy-AM"/>
              </w:rPr>
            </w:pPr>
          </w:p>
          <w:p w:rsidR="00BC3D9A" w:rsidRPr="00B57DAB" w:rsidRDefault="00BC3D9A" w:rsidP="00BC3D9A">
            <w:pPr>
              <w:pStyle w:val="a8"/>
            </w:pPr>
            <w:r w:rsidRPr="00B57DAB">
              <w:rPr>
                <w:b/>
                <w:i/>
              </w:rPr>
              <w:t xml:space="preserve">Գծապատկեր 3. </w:t>
            </w:r>
            <w:r w:rsidRPr="00B57DAB">
              <w:t>Տնտեսության ճյուղերի նպաստումները ՏԱՑ-ին (տ.կ.)</w:t>
            </w:r>
            <w:r w:rsidRPr="00B57DAB">
              <w:rPr>
                <w:vertAlign w:val="superscript"/>
              </w:rPr>
              <w:footnoteReference w:id="7"/>
            </w:r>
            <w:r w:rsidRPr="00B57DAB">
              <w:t xml:space="preserve"> </w:t>
            </w:r>
            <w:r w:rsidRPr="00B57DAB">
              <w:rPr>
                <w:i/>
              </w:rPr>
              <w:drawing>
                <wp:inline distT="0" distB="0" distL="0" distR="0" wp14:anchorId="0B9C15A9" wp14:editId="7DF7A9E4">
                  <wp:extent cx="3100648" cy="1903615"/>
                  <wp:effectExtent l="0" t="0" r="5080" b="190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3D9A" w:rsidRPr="00B57DAB" w:rsidRDefault="00BC3D9A" w:rsidP="00BC3D9A">
            <w:pPr>
              <w:spacing w:after="60"/>
              <w:jc w:val="both"/>
              <w:rPr>
                <w:rFonts w:ascii="GHEA Grapalat" w:hAnsi="GHEA Grapalat" w:cs="Sylfaen"/>
              </w:rPr>
            </w:pPr>
            <w:r w:rsidRPr="00B57DAB">
              <w:rPr>
                <w:rFonts w:ascii="GHEA Grapalat" w:hAnsi="GHEA Grapalat"/>
                <w:i/>
                <w:sz w:val="16"/>
                <w:szCs w:val="16"/>
                <w:lang w:val="hy-AM"/>
              </w:rPr>
              <w:t>Աղբյուրը՝ ՀՀ ՎԿ, ՀՀ ՖՆ հաշվարկներ</w:t>
            </w:r>
          </w:p>
        </w:tc>
        <w:tc>
          <w:tcPr>
            <w:tcW w:w="5008" w:type="dxa"/>
          </w:tcPr>
          <w:p w:rsidR="00BC3D9A" w:rsidRPr="00B57DAB" w:rsidRDefault="00BC3D9A" w:rsidP="00BC3D9A">
            <w:pPr>
              <w:pStyle w:val="a8"/>
              <w:rPr>
                <w:lang w:val="hy-AM"/>
              </w:rPr>
            </w:pPr>
            <w:r w:rsidRPr="00B57DAB">
              <w:rPr>
                <w:b/>
                <w:i/>
              </w:rPr>
              <w:t xml:space="preserve">Գծապատկեր 4. </w:t>
            </w:r>
            <w:r w:rsidRPr="00B57DAB">
              <w:t>Տնտեսության</w:t>
            </w:r>
            <w:r w:rsidRPr="00B57DAB">
              <w:rPr>
                <w:lang w:val="hy-AM"/>
              </w:rPr>
              <w:t xml:space="preserve"> ճյուղերի նպաստումները ՏԱՑ-ին նախորդ տարվա նույն ամսվա նկատմամբ</w:t>
            </w:r>
            <w:r w:rsidRPr="00B57DAB">
              <w:rPr>
                <w:sz w:val="18"/>
                <w:szCs w:val="18"/>
                <w:lang w:val="hy-AM"/>
              </w:rPr>
              <w:t xml:space="preserve"> </w:t>
            </w:r>
            <w:r w:rsidRPr="00B57DAB">
              <w:rPr>
                <w:szCs w:val="18"/>
                <w:lang w:val="hy-AM"/>
              </w:rPr>
              <w:t>(տ.կ.)</w:t>
            </w:r>
            <w:r w:rsidRPr="00B57DAB">
              <w:rPr>
                <w:rStyle w:val="FootnoteReference"/>
                <w:rFonts w:cs="Sylfaen"/>
                <w:lang w:val="hy-AM"/>
              </w:rPr>
              <w:t xml:space="preserve"> </w:t>
            </w:r>
          </w:p>
          <w:p w:rsidR="00BC3D9A" w:rsidRPr="00B57DAB" w:rsidRDefault="00BC3D9A" w:rsidP="00BC3D9A">
            <w:pPr>
              <w:tabs>
                <w:tab w:val="right" w:pos="0"/>
              </w:tabs>
              <w:spacing w:before="120" w:after="60"/>
              <w:contextualSpacing/>
              <w:rPr>
                <w:rFonts w:ascii="GHEA Grapalat" w:hAnsi="GHEA Grapalat"/>
                <w:lang w:val="hy-AM"/>
              </w:rPr>
            </w:pPr>
            <w:r w:rsidRPr="00B57DAB">
              <w:rPr>
                <w:rFonts w:ascii="GHEA Grapalat" w:hAnsi="GHEA Grapalat"/>
                <w:noProof/>
              </w:rPr>
              <w:drawing>
                <wp:inline distT="0" distB="0" distL="0" distR="0" wp14:anchorId="213D8432" wp14:editId="50052916">
                  <wp:extent cx="3017520" cy="1920240"/>
                  <wp:effectExtent l="0" t="0" r="0" b="381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3D9A" w:rsidRPr="00B57DAB" w:rsidRDefault="00BC3D9A" w:rsidP="00BC3D9A">
            <w:pPr>
              <w:jc w:val="both"/>
              <w:rPr>
                <w:rFonts w:ascii="GHEA Grapalat" w:hAnsi="GHEA Grapalat"/>
                <w:i/>
                <w:sz w:val="16"/>
                <w:szCs w:val="16"/>
                <w:lang w:val="hy-AM"/>
              </w:rPr>
            </w:pPr>
            <w:r w:rsidRPr="00B57DAB">
              <w:rPr>
                <w:rFonts w:ascii="GHEA Grapalat" w:hAnsi="GHEA Grapalat"/>
                <w:i/>
                <w:sz w:val="16"/>
                <w:szCs w:val="16"/>
                <w:lang w:val="hy-AM"/>
              </w:rPr>
              <w:t>Աղբյուրը՝ ՀՀ ՎԿ, ՀՀ ՖՆ հաշվարկներ</w:t>
            </w:r>
          </w:p>
        </w:tc>
      </w:tr>
    </w:tbl>
    <w:p w:rsidR="00BC3D9A" w:rsidRPr="00BC3D9A" w:rsidRDefault="00BC3D9A" w:rsidP="00BC3D9A">
      <w:pPr>
        <w:spacing w:line="360" w:lineRule="auto"/>
        <w:ind w:firstLine="567"/>
        <w:jc w:val="both"/>
        <w:rPr>
          <w:rFonts w:ascii="GHEA Grapalat" w:eastAsia="GHEA Grapalat" w:hAnsi="GHEA Grapalat" w:cs="GHEA Grapalat"/>
          <w:b/>
          <w:i/>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lastRenderedPageBreak/>
        <w:t>Համախառն պահանջարկ</w:t>
      </w:r>
      <w:r w:rsidRPr="00B57DAB">
        <w:rPr>
          <w:rFonts w:ascii="GHEA Grapalat" w:hAnsi="GHEA Grapalat"/>
          <w:b/>
          <w:i/>
          <w:sz w:val="22"/>
          <w:szCs w:val="22"/>
          <w:vertAlign w:val="superscript"/>
          <w:lang w:val="hy-AM"/>
        </w:rPr>
        <w:footnoteReference w:id="8"/>
      </w:r>
      <w:r w:rsidRPr="00B57DAB">
        <w:rPr>
          <w:rFonts w:ascii="GHEA Grapalat" w:hAnsi="GHEA Grapalat" w:cs="GHEA Grapalat"/>
          <w:b/>
          <w:i/>
          <w:sz w:val="22"/>
          <w:szCs w:val="22"/>
          <w:lang w:val="hy-AM"/>
        </w:rPr>
        <w:t>:</w:t>
      </w:r>
      <w:r w:rsidRPr="00B57DAB">
        <w:rPr>
          <w:lang w:val="hy-AM"/>
        </w:rPr>
        <w:t xml:space="preserve"> </w:t>
      </w:r>
      <w:r w:rsidRPr="00B57DAB">
        <w:rPr>
          <w:rFonts w:ascii="GHEA Grapalat" w:hAnsi="GHEA Grapalat" w:cs="GHEA Grapalat"/>
          <w:sz w:val="22"/>
          <w:szCs w:val="22"/>
          <w:lang w:val="hy-AM"/>
        </w:rPr>
        <w:t xml:space="preserve">Հունվար-մարտին տնտեսական ակտիվության աճն ուղեկցվել է ներքին պահանջարկի աճով: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Սպառում։</w:t>
      </w:r>
      <w:r w:rsidRPr="00B57DAB">
        <w:rPr>
          <w:rFonts w:ascii="GHEA Grapalat" w:hAnsi="GHEA Grapalat" w:cs="GHEA Grapalat"/>
          <w:sz w:val="22"/>
          <w:szCs w:val="22"/>
          <w:lang w:val="hy-AM"/>
        </w:rPr>
        <w:t xml:space="preserve"> Հունվար-մարտին սպառումն իրական արտահայտությամբ աճել է շուրջ 8.5%-ով՝ պայմանավորված մասնավոր հատվածի սպառման աճով, որին նպաստել են բնակչության տնօրինվող եկամտի աճը և համավարակի պայմաններում կուտակված խնայողությունների օգտագործումը: Պետական սպառման նվազումը բացասաբար է ազդել ընդհանուր սպառման աճի</w:t>
      </w:r>
      <w:r w:rsidRPr="00BC3D9A">
        <w:rPr>
          <w:rFonts w:ascii="GHEA Grapalat" w:hAnsi="GHEA Grapalat" w:cs="GHEA Grapalat"/>
          <w:sz w:val="22"/>
          <w:szCs w:val="22"/>
          <w:lang w:val="hy-AM"/>
        </w:rPr>
        <w:t xml:space="preserve"> վրա</w:t>
      </w:r>
      <w:r w:rsidRPr="00B57DAB">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Ներդրումներ։</w:t>
      </w:r>
      <w:r w:rsidRPr="00B57DAB">
        <w:rPr>
          <w:rFonts w:ascii="GHEA Grapalat" w:hAnsi="GHEA Grapalat" w:cs="GHEA Grapalat"/>
          <w:sz w:val="22"/>
          <w:szCs w:val="22"/>
          <w:lang w:val="hy-AM"/>
        </w:rPr>
        <w:t xml:space="preserve"> Հունվար-մարտին գնահատվում է կապիտալ ներդրումների</w:t>
      </w:r>
      <w:r w:rsidRPr="00B57DAB">
        <w:rPr>
          <w:rFonts w:ascii="GHEA Grapalat" w:hAnsi="GHEA Grapalat" w:cs="GHEA Grapalat"/>
          <w:sz w:val="22"/>
          <w:szCs w:val="22"/>
          <w:lang w:val="hy-AM"/>
        </w:rPr>
        <w:footnoteReference w:id="9"/>
      </w:r>
      <w:r w:rsidRPr="00B57DAB">
        <w:rPr>
          <w:rFonts w:ascii="GHEA Grapalat" w:hAnsi="GHEA Grapalat" w:cs="GHEA Grapalat"/>
          <w:sz w:val="22"/>
          <w:szCs w:val="22"/>
          <w:lang w:val="hy-AM"/>
        </w:rPr>
        <w:t xml:space="preserve"> նախորդ տարվա նույն ժամանակահատվածի նկատմամբ իրական արտահայտությամբ շուրջ 3.7% աճ՝ պայմանավորված մասնավոր ներդրումների աճով: Մասնավոր ներդրումների վրա դրական ազդեցություն են ունեցել հիփոթեքային և շինարարության վարկերի ծավալների աճը: Պետական ներդրումները նվազել են՝ հակազդելով ընդհանուր ներդրումների աճին։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տրանսպորտի, ինչպես նաև տեղեկատվություն և կապ ոլորտներում կատարված ներդրումների աճերով</w:t>
      </w:r>
      <w:r w:rsidRPr="00B57DAB">
        <w:rPr>
          <w:rFonts w:ascii="GHEA Grapalat" w:hAnsi="GHEA Grapalat" w:cs="GHEA Grapalat"/>
          <w:sz w:val="22"/>
          <w:szCs w:val="22"/>
          <w:vertAlign w:val="superscript"/>
          <w:lang w:val="hy-AM"/>
        </w:rPr>
        <w:footnoteReference w:id="10"/>
      </w:r>
      <w:r w:rsidRPr="00B57DAB">
        <w:rPr>
          <w:rFonts w:ascii="GHEA Grapalat" w:hAnsi="GHEA Grapalat" w:cs="GHEA Grapalat"/>
          <w:sz w:val="22"/>
          <w:szCs w:val="22"/>
          <w:lang w:val="hy-AM"/>
        </w:rPr>
        <w:t>:</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Զուտ արտահանում։</w:t>
      </w:r>
      <w:r w:rsidRPr="00B57DAB">
        <w:rPr>
          <w:rFonts w:ascii="GHEA Grapalat" w:hAnsi="GHEA Grapalat" w:cs="GHEA Grapalat"/>
          <w:sz w:val="22"/>
          <w:szCs w:val="22"/>
          <w:lang w:val="hy-AM"/>
        </w:rPr>
        <w:t xml:space="preserve"> Ապրանքների և ծառայությունների արտահանման իրական ծավալների աճը գնահատվում է մոտ 30%` պայմանավորված արտաքին պահանջարկի աճով (հիմնականում զբոսաշրջիկներին մատուցված ծառայությունների աճեր): Հաշվետու ժամանակահատվածում ապրանքների և ծառայությունների ներմուծման ծավալները նախորդ տարվա նույն ժամանակահատվածի համեմատ աճել են շուրջ 29%-ով` պայմանավորված տնտեսական ակտիվության և ներքին պահանջարկի աճով:</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pStyle w:val="Heading6"/>
        <w:ind w:left="567"/>
        <w:rPr>
          <w:rFonts w:ascii="GHEA Grapalat" w:hAnsi="GHEA Grapalat"/>
          <w:b/>
          <w:sz w:val="22"/>
          <w:szCs w:val="22"/>
          <w:u w:val="none"/>
        </w:rPr>
      </w:pPr>
      <w:bookmarkStart w:id="12" w:name="_Toc71311883"/>
      <w:r w:rsidRPr="00B57DAB">
        <w:rPr>
          <w:rFonts w:ascii="GHEA Grapalat" w:hAnsi="GHEA Grapalat"/>
          <w:b/>
          <w:sz w:val="22"/>
          <w:szCs w:val="22"/>
          <w:u w:val="none"/>
        </w:rPr>
        <w:t>Աշխատանքի շուկա</w:t>
      </w:r>
      <w:bookmarkEnd w:id="12"/>
      <w:r w:rsidRPr="00B57DAB">
        <w:rPr>
          <w:rFonts w:ascii="GHEA Grapalat" w:hAnsi="GHEA Grapalat"/>
          <w:b/>
          <w:sz w:val="22"/>
          <w:szCs w:val="22"/>
          <w:u w:val="none"/>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Տնտեսական բարձր ակտիվության պայմաններում առաջին եռամսյակում գործազրկությունը նվազել է, իսկ իրական աշխատավարձերը՝ աճել։ 2022 թվականի հունվար-մարտ ամիսներին պաշտոնապես գրանցված գործազուրկների միջին ամսական թվաքանակը նախորդ տարվա նույն ժամանակահատվածի նկատմամբ նվազել է 8.3%-ով՝ կազմելով 57242 մարդ: Միևնույն ժամանակ վարձու աշխատողների թվաքանակն աճել է շուրջ 6.0%-ով՝ կազմելով 658,804 մարդ։</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2022 թվականի առաջին եռամսյակում միջին ամսական անվանական աշխատավարձը նախորդ տարվա նույն ժամանակահատվածում գրանցված ցուցանիշի նկատմամբ աճել է 9.6%-ով` կազմելով </w:t>
      </w:r>
      <w:r w:rsidRPr="00B57DAB">
        <w:rPr>
          <w:rFonts w:ascii="GHEA Grapalat" w:hAnsi="GHEA Grapalat" w:cs="GHEA Grapalat"/>
          <w:sz w:val="22"/>
          <w:szCs w:val="22"/>
          <w:lang w:val="hy-AM"/>
        </w:rPr>
        <w:lastRenderedPageBreak/>
        <w:t>212,767 դրամ: Միջին ամսական անվանական աշխատավարձը պետական հատվածում աճել է 4.1%-ով` կազմելով 173,717 դրամ, իսկ ոչ պետականում` 11.2%-ով և կազմել է 230,567 դրամ: Իրական աշխատավարձը՝ 7.0% գնաճի պայմաններում, 2021 թվականի նույն ժամանակահատվածի համեմատ աճել է 2.4%-ով:</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C3D9A" w:rsidRDefault="00BC3D9A" w:rsidP="00BC3D9A">
      <w:pPr>
        <w:pStyle w:val="Heading6"/>
        <w:ind w:left="567"/>
        <w:rPr>
          <w:rFonts w:ascii="GHEA Grapalat" w:hAnsi="GHEA Grapalat"/>
          <w:b/>
          <w:sz w:val="22"/>
          <w:szCs w:val="22"/>
          <w:u w:val="none"/>
        </w:rPr>
      </w:pPr>
      <w:bookmarkStart w:id="13" w:name="_Toc6389321"/>
      <w:bookmarkStart w:id="14" w:name="_Toc37763588"/>
      <w:bookmarkStart w:id="15" w:name="_Toc71311884"/>
      <w:r w:rsidRPr="00B57DAB">
        <w:rPr>
          <w:rFonts w:ascii="GHEA Grapalat" w:hAnsi="GHEA Grapalat"/>
          <w:b/>
          <w:sz w:val="22"/>
          <w:szCs w:val="22"/>
          <w:u w:val="none"/>
        </w:rPr>
        <w:t>Գնաճ</w:t>
      </w:r>
      <w:bookmarkEnd w:id="13"/>
      <w:bookmarkEnd w:id="14"/>
      <w:r w:rsidRPr="00B57DAB">
        <w:rPr>
          <w:rFonts w:ascii="GHEA Grapalat" w:hAnsi="GHEA Grapalat"/>
          <w:b/>
          <w:sz w:val="22"/>
          <w:szCs w:val="22"/>
          <w:u w:val="none"/>
        </w:rPr>
        <w:t xml:space="preserve"> և դրամավարկային քաղաքականություն</w:t>
      </w:r>
      <w:bookmarkEnd w:id="15"/>
    </w:p>
    <w:p w:rsidR="00BC3D9A" w:rsidRPr="00BC3D9A"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չնայած տարեսկզբի որոշակի դանդաղմանը, գնաճի բարձր տեմպերը պահպանվել են, որի պայմաններում ՀՀ ԿԲ-ն շարունակել</w:t>
      </w:r>
      <w:r w:rsidRPr="00BC3D9A">
        <w:rPr>
          <w:rFonts w:ascii="GHEA Grapalat" w:hAnsi="GHEA Grapalat" w:cs="GHEA Grapalat"/>
          <w:sz w:val="22"/>
          <w:szCs w:val="22"/>
          <w:lang w:val="hy-AM"/>
        </w:rPr>
        <w:t xml:space="preserve"> է</w:t>
      </w:r>
      <w:r w:rsidRPr="00B57DAB">
        <w:rPr>
          <w:rFonts w:ascii="GHEA Grapalat" w:hAnsi="GHEA Grapalat" w:cs="GHEA Grapalat"/>
          <w:sz w:val="22"/>
          <w:szCs w:val="22"/>
          <w:lang w:val="hy-AM"/>
        </w:rPr>
        <w:t xml:space="preserve"> խստացնել դրամավարկային պայմանները՝ բարձրացնելով վերաֆինանսավորման տոկոսադրույքը:</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Եռամսյակի առաջին երկու ամիսների ընթացքում դիտվել է 12 ամսյա գնաճի տեմպերի դանդաղման գործընթաց, մինչդեռ մարտ ամսին,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ինչպես նաև համախառն պահանջարկի աճով (այդ թվում՝ օտարերկյա այցելուների կտրուկ աճով պայմանավորված)</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12 ամսյա գնաճ</w:t>
      </w:r>
      <w:r>
        <w:rPr>
          <w:rFonts w:ascii="GHEA Grapalat" w:hAnsi="GHEA Grapalat" w:cs="GHEA Grapalat"/>
          <w:sz w:val="22"/>
          <w:szCs w:val="22"/>
          <w:lang w:val="hy-AM"/>
        </w:rPr>
        <w:t>ը կազմել է 7.4%, իսկ միջին գնաճ</w:t>
      </w:r>
      <w:r w:rsidRPr="00BC3D9A">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առաջին եռամսյակում՝ 7%: </w:t>
      </w:r>
    </w:p>
    <w:p w:rsidR="00BC3D9A" w:rsidRPr="00BC3D9A" w:rsidRDefault="00BC3D9A" w:rsidP="00BC3D9A">
      <w:pPr>
        <w:spacing w:line="360" w:lineRule="auto"/>
        <w:ind w:firstLine="567"/>
        <w:jc w:val="both"/>
        <w:rPr>
          <w:rFonts w:ascii="GHEA Grapalat" w:hAnsi="GHEA Grapalat" w:cs="GHEA Grapalat"/>
          <w:sz w:val="22"/>
          <w:szCs w:val="22"/>
          <w:lang w:val="hy-AM"/>
        </w:rPr>
      </w:pPr>
    </w:p>
    <w:p w:rsidR="00BC3D9A" w:rsidRPr="00BC3D9A" w:rsidRDefault="00BC3D9A" w:rsidP="00BC3D9A">
      <w:pPr>
        <w:pStyle w:val="a8"/>
        <w:numPr>
          <w:ilvl w:val="0"/>
          <w:numId w:val="21"/>
        </w:numPr>
        <w:ind w:left="0" w:firstLine="0"/>
        <w:jc w:val="both"/>
        <w:rPr>
          <w:sz w:val="22"/>
          <w:szCs w:val="22"/>
          <w:lang w:val="hy-AM"/>
        </w:rPr>
      </w:pPr>
      <w:r w:rsidRPr="00BC3D9A">
        <w:rPr>
          <w:sz w:val="22"/>
          <w:szCs w:val="22"/>
          <w:lang w:val="hy-AM"/>
        </w:rPr>
        <w:t>2022 թվականի առաջին եռամսյակի գնաճի նպաստումները խոշոր ապրանքախմբերով, տոկոսային կետ</w:t>
      </w:r>
      <w:r w:rsidRPr="00B57DAB">
        <w:rPr>
          <w:rStyle w:val="FootnoteReference"/>
          <w:sz w:val="22"/>
          <w:szCs w:val="22"/>
        </w:rPr>
        <w:footnoteReference w:id="11"/>
      </w:r>
    </w:p>
    <w:p w:rsidR="00BC3D9A" w:rsidRPr="00B57DAB" w:rsidRDefault="00BC3D9A" w:rsidP="00BC3D9A">
      <w:pPr>
        <w:pStyle w:val="BodyText"/>
        <w:rPr>
          <w:rFonts w:ascii="GHEA Grapalat" w:hAnsi="GHEA Grapalat" w:cs="Sylfaen"/>
          <w:b w:val="0"/>
          <w:sz w:val="22"/>
          <w:szCs w:val="22"/>
        </w:rPr>
      </w:pPr>
      <w:r w:rsidRPr="00B57DAB">
        <w:rPr>
          <w:rFonts w:ascii="GHEA Grapalat" w:hAnsi="GHEA Grapalat" w:cs="Sylfaen"/>
          <w:b w:val="0"/>
          <w:noProof/>
          <w:szCs w:val="22"/>
        </w:rPr>
        <w:drawing>
          <wp:inline distT="0" distB="0" distL="0" distR="0" wp14:anchorId="7106104C" wp14:editId="10AC359D">
            <wp:extent cx="3171825" cy="22764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57DAB">
        <w:rPr>
          <w:rFonts w:ascii="GHEA Grapalat" w:hAnsi="GHEA Grapalat" w:cs="Sylfaen"/>
          <w:b w:val="0"/>
          <w:noProof/>
          <w:szCs w:val="22"/>
        </w:rPr>
        <w:drawing>
          <wp:inline distT="0" distB="0" distL="0" distR="0" wp14:anchorId="39918135" wp14:editId="1E16986F">
            <wp:extent cx="3171825" cy="22764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57DAB">
        <w:rPr>
          <w:rFonts w:ascii="GHEA Grapalat" w:hAnsi="GHEA Grapalat" w:cs="Sylfaen"/>
          <w:b w:val="0"/>
          <w:noProof/>
          <w:szCs w:val="22"/>
        </w:rPr>
        <w:drawing>
          <wp:inline distT="0" distB="0" distL="0" distR="0" wp14:anchorId="63E2AD6B" wp14:editId="0A23CC93">
            <wp:extent cx="6362700" cy="5810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Միջին գնաճին առավելապես նպաստել է «Սննդամթերք և ոչ ալկոհոլային խմիչքներ» ապրանքախմբում արձանագրված 12.1% գների աճը (նպաստումը գնաճին` 4.5 տոկոսային կետ)՝ </w:t>
      </w:r>
      <w:r w:rsidRPr="00B57DAB">
        <w:rPr>
          <w:rFonts w:ascii="GHEA Grapalat" w:hAnsi="GHEA Grapalat" w:cs="GHEA Grapalat"/>
          <w:sz w:val="22"/>
          <w:szCs w:val="22"/>
          <w:lang w:val="hy-AM"/>
        </w:rPr>
        <w:lastRenderedPageBreak/>
        <w:t>հիմնականում պայմանավորված առաջին անհրաժեշտության պարենային ապրանքների (բանջարեղեն, հացաբուլկեղեն և ձավարեղեն, միս, կաթնամթերք և այլն) գների աճերով: «Ալկոհոլային խմիչքներ, ծխախոտային արտադրատեսակներ» խմբում արձանագրվել է 7</w:t>
      </w:r>
      <w:r>
        <w:rPr>
          <w:rFonts w:ascii="GHEA Grapalat" w:hAnsi="GHEA Grapalat" w:cs="GHEA Grapalat"/>
          <w:sz w:val="22"/>
          <w:szCs w:val="22"/>
        </w:rPr>
        <w:t>.</w:t>
      </w:r>
      <w:r w:rsidRPr="00B57DAB">
        <w:rPr>
          <w:rFonts w:ascii="GHEA Grapalat" w:hAnsi="GHEA Grapalat" w:cs="GHEA Grapalat"/>
          <w:sz w:val="22"/>
          <w:szCs w:val="22"/>
          <w:lang w:val="hy-AM"/>
        </w:rPr>
        <w:t>9% գնաճ (նպաստումը գնաճին` 0.4 տոկոսային կետ), իսկ «Ոչ պարենային ապրանքների» խմբում արձանագրվել է 5</w:t>
      </w:r>
      <w:r>
        <w:rPr>
          <w:rFonts w:ascii="GHEA Grapalat" w:hAnsi="GHEA Grapalat" w:cs="GHEA Grapalat"/>
          <w:sz w:val="22"/>
          <w:szCs w:val="22"/>
        </w:rPr>
        <w:t>.</w:t>
      </w:r>
      <w:r w:rsidRPr="00B57DAB">
        <w:rPr>
          <w:rFonts w:ascii="GHEA Grapalat" w:hAnsi="GHEA Grapalat" w:cs="GHEA Grapalat"/>
          <w:sz w:val="22"/>
          <w:szCs w:val="22"/>
          <w:lang w:val="hy-AM"/>
        </w:rPr>
        <w:t>5% գնաճ (նպաստումը գնաճին` 1.2 տոկոսային կետ), ինչը հիմնականում պայմանավորված է էլեկտրաէներգիայի և վառելիքի գների աճով։ Բնակչությանը մատուցված ծառայությունների գծով արձանագրվել է 2.5% գնաճ (դրական նպաստումը գնաճին` 0.9 տոկոսային կետ), ինչի վրա իր անմիջական ազդեցությունն է թողել տրանսպորտային և բնակարանային ծառայությունների սակագների</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աճը։</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ընդհանուր առմամբ 1.5 տոկոսային կետով՝ սահմանելով այն 9.25%:</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pStyle w:val="Heading6"/>
        <w:ind w:left="567"/>
        <w:rPr>
          <w:rFonts w:ascii="GHEA Grapalat" w:hAnsi="GHEA Grapalat"/>
          <w:b/>
          <w:sz w:val="22"/>
          <w:szCs w:val="22"/>
          <w:u w:val="none"/>
        </w:rPr>
      </w:pPr>
      <w:bookmarkStart w:id="16" w:name="_Toc71311885"/>
      <w:r w:rsidRPr="00B57DAB">
        <w:rPr>
          <w:rFonts w:ascii="GHEA Grapalat" w:hAnsi="GHEA Grapalat"/>
          <w:b/>
          <w:sz w:val="22"/>
          <w:szCs w:val="22"/>
          <w:u w:val="none"/>
        </w:rPr>
        <w:t>Արտաքին առևտուր, արտահանում և ներմուծում</w:t>
      </w:r>
      <w:bookmarkEnd w:id="16"/>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 (դոլարային արտահայտությամբ)</w:t>
      </w:r>
      <w:r w:rsidRPr="00B57DAB">
        <w:rPr>
          <w:rFonts w:ascii="GHEA Grapalat" w:hAnsi="GHEA Grapalat" w:cs="GHEA Grapalat"/>
          <w:b/>
          <w:i/>
          <w:sz w:val="22"/>
          <w:szCs w:val="22"/>
          <w:vertAlign w:val="superscript"/>
          <w:lang w:val="hy-AM"/>
        </w:rPr>
        <w:footnoteReference w:id="12"/>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2022 թվականի առաջին եռամսյակում ներքին և արտաքին պահանջարկի վերականգնման պայմաններում գրանցվել է արտաքին ապրանքաշրջանառության երկնիշ աճ։ Արտաքին ապրանքաշրջանառությունը 2022 թվականի առաջին եռամսյակում կազմել է 2098 մլն ԱՄՆ դոլար` նախորդ տարվա համեմատ աճելով 38.5%-ով: Հաշվետու ժամանակահատվածում արձանագրվել է դոլարային արտահայտությամբ արտահանման և ներմուծման աճ. արտահանումն աճել է 26.9%</w:t>
      </w:r>
      <w:r w:rsidRPr="00B57DAB">
        <w:rPr>
          <w:rFonts w:ascii="GHEA Grapalat" w:hAnsi="GHEA Grapalat" w:cs="GHEA Grapalat"/>
          <w:sz w:val="22"/>
          <w:szCs w:val="22"/>
          <w:lang w:val="hy-AM"/>
        </w:rPr>
        <w:noBreakHyphen/>
        <w:t>ով` կազմելով 731.8 մլն ԱՄՆ դոլար, իսկ ներմուծումը` 45.6%-ով և կազմել 1336.2 մլն ԱՄՆ դոլար: Տարեսկզբից արձանագրված ա</w:t>
      </w:r>
      <w:r>
        <w:rPr>
          <w:rFonts w:ascii="GHEA Grapalat" w:hAnsi="GHEA Grapalat" w:cs="GHEA Grapalat"/>
          <w:sz w:val="22"/>
          <w:szCs w:val="22"/>
          <w:lang w:val="hy-AM"/>
        </w:rPr>
        <w:t>րտաքին առևտրի աճի բարձր տեմպերը</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ՌԴ-ի և Ուկրաինայի միջև հակամարտության և ՌԴ-ի նկատմամբ կիրառվող աննախադեպ պատժամիջոցների բացասական ազդեցություններով պայմանավորված</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մարտ ամսից սկսել են դանդաղել, և արդեն իսկ մարտին նախորդ՝ 2021 թվականի մարտի համեմատ արտահանումն աճել է ընդամենը 4.0%</w:t>
      </w:r>
      <w:r w:rsidRPr="00BC3D9A">
        <w:rPr>
          <w:rFonts w:ascii="GHEA Grapalat" w:hAnsi="GHEA Grapalat" w:cs="GHEA Grapalat"/>
          <w:sz w:val="22"/>
          <w:szCs w:val="22"/>
          <w:lang w:val="hy-AM"/>
        </w:rPr>
        <w:t>-ով</w:t>
      </w:r>
      <w:r w:rsidRPr="00B57DAB">
        <w:rPr>
          <w:rFonts w:ascii="GHEA Grapalat" w:hAnsi="GHEA Grapalat" w:cs="GHEA Grapalat"/>
          <w:sz w:val="22"/>
          <w:szCs w:val="22"/>
          <w:lang w:val="hy-AM"/>
        </w:rPr>
        <w:t>, իսկ ներմուծումը՝ 22.5%</w:t>
      </w:r>
      <w:r w:rsidRPr="00BC3D9A">
        <w:rPr>
          <w:rFonts w:ascii="GHEA Grapalat" w:hAnsi="GHEA Grapalat" w:cs="GHEA Grapalat"/>
          <w:sz w:val="22"/>
          <w:szCs w:val="22"/>
          <w:lang w:val="hy-AM"/>
        </w:rPr>
        <w:t>-ով</w:t>
      </w:r>
      <w:r w:rsidRPr="00B57DAB">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Արտահանման համեմատ ներմուծման առաջանցիկ աճով պայմանավորված` ընթացիկ տարվա առաջին երեք ամիսներին ապրանքների գծով արտաքին առևտրի բացասական մնացորդը նախորդ տարվա նկատմամբ վատթարացել է (75.5%-ով) և կազմել 634.5 մլն ԱՄՆ դոլար:</w:t>
      </w:r>
    </w:p>
    <w:p w:rsidR="00BC3D9A" w:rsidRPr="00BC3D9A" w:rsidRDefault="00BC3D9A" w:rsidP="00BC3D9A">
      <w:pPr>
        <w:pStyle w:val="a8"/>
        <w:numPr>
          <w:ilvl w:val="0"/>
          <w:numId w:val="21"/>
        </w:numPr>
        <w:ind w:left="0" w:firstLine="0"/>
        <w:jc w:val="both"/>
        <w:rPr>
          <w:sz w:val="22"/>
          <w:szCs w:val="22"/>
          <w:lang w:val="hy-AM"/>
        </w:rPr>
      </w:pPr>
      <w:r w:rsidRPr="00BC3D9A">
        <w:rPr>
          <w:sz w:val="22"/>
          <w:szCs w:val="22"/>
          <w:lang w:val="hy-AM"/>
        </w:rPr>
        <w:lastRenderedPageBreak/>
        <w:t>Առևտրային հաշվեկշռի դինամիկան հունվար-մարտ ամիսներին (մլն ԱՄՆ դոլար)</w:t>
      </w:r>
      <w:r w:rsidRPr="00B57DAB">
        <w:rPr>
          <w:sz w:val="22"/>
          <w:szCs w:val="22"/>
          <w:vertAlign w:val="superscript"/>
        </w:rPr>
        <w:footnoteReference w:id="13"/>
      </w:r>
    </w:p>
    <w:p w:rsidR="00BC3D9A" w:rsidRPr="00B57DAB" w:rsidRDefault="00BC3D9A" w:rsidP="00BC3D9A">
      <w:pPr>
        <w:spacing w:line="360" w:lineRule="auto"/>
        <w:jc w:val="center"/>
        <w:rPr>
          <w:rFonts w:ascii="GHEA Grapalat" w:eastAsia="GHEA Grapalat" w:hAnsi="GHEA Grapalat" w:cs="GHEA Grapalat"/>
          <w:sz w:val="22"/>
          <w:szCs w:val="22"/>
        </w:rPr>
      </w:pPr>
      <w:r w:rsidRPr="00B57DAB">
        <w:rPr>
          <w:rFonts w:ascii="GHEA Grapalat" w:hAnsi="GHEA Grapalat" w:cs="Sylfaen"/>
          <w:noProof/>
          <w:sz w:val="22"/>
          <w:szCs w:val="22"/>
        </w:rPr>
        <w:drawing>
          <wp:inline distT="0" distB="0" distL="0" distR="0" wp14:anchorId="1A6BC9B1" wp14:editId="34255E2C">
            <wp:extent cx="6147880" cy="2217906"/>
            <wp:effectExtent l="0" t="0" r="24765" b="1143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Արտահանում:</w:t>
      </w:r>
      <w:r w:rsidRPr="00B57DAB">
        <w:rPr>
          <w:rFonts w:ascii="GHEA Grapalat" w:hAnsi="GHEA Grapalat" w:cs="GHEA Grapalat"/>
          <w:sz w:val="22"/>
          <w:szCs w:val="22"/>
          <w:lang w:val="hy-AM"/>
        </w:rPr>
        <w:t xml:space="preserve"> 2022 թվականի առաջին եռամսյակում արձանագրվել է արտահանման 26.9% աճ` հիմնականում պայմանավորված արտաքին պահանջարկի վերականգնմամբ և միջազգային շուկայում մետաղների գների բարձր մակարդակով: 2022 թվականի մարտ ամսին՝ ՌԴ-ի և Ուկրիանիայի միջև հակամարտության և ՌԴ-ի նկատմամբ կիրառվող պատժամիջոցների բացասական ազդեցությունների, արդյունքում ՌԴ տնտեսական աճի դանդաղման, մարտ ամսին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արձանագրվել է արտահանման աճի տեմպերի զգալի դանդաղում</w:t>
      </w:r>
      <w:r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ընթացիկ տարվա մարտ ամսին արտահանումն աճել է ընդամենը 4%-ով (տե՛ս ստորև ներկայացված գծապատկերը): 2022 թվականի առաջին եռամսյակի ընթացքում ՀՀ ապրանքների արտահանման 26.9% անվանական դոլարային աճը հիմնականում պայմանավորվել է իրական ծավալների աճով:</w:t>
      </w:r>
      <w:r>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rPr>
      </w:pPr>
    </w:p>
    <w:p w:rsidR="00BC3D9A" w:rsidRPr="00B57DAB" w:rsidRDefault="00BC3D9A" w:rsidP="00BC3D9A">
      <w:pPr>
        <w:spacing w:line="360" w:lineRule="auto"/>
        <w:ind w:firstLine="567"/>
        <w:jc w:val="both"/>
        <w:rPr>
          <w:rFonts w:ascii="GHEA Grapalat" w:hAnsi="GHEA Grapalat" w:cs="GHEA Grapalat"/>
          <w:sz w:val="22"/>
          <w:szCs w:val="22"/>
        </w:rPr>
      </w:pPr>
    </w:p>
    <w:p w:rsidR="00BC3D9A" w:rsidRPr="00B57DAB" w:rsidRDefault="00BC3D9A" w:rsidP="00BC3D9A">
      <w:pPr>
        <w:spacing w:line="360" w:lineRule="auto"/>
        <w:ind w:firstLine="567"/>
        <w:jc w:val="both"/>
        <w:rPr>
          <w:rFonts w:ascii="GHEA Grapalat" w:hAnsi="GHEA Grapalat" w:cs="GHEA Grapalat"/>
          <w:sz w:val="22"/>
          <w:szCs w:val="22"/>
        </w:rPr>
      </w:pPr>
    </w:p>
    <w:p w:rsidR="00BC3D9A" w:rsidRPr="00B57DAB" w:rsidRDefault="00BC3D9A" w:rsidP="00BC3D9A">
      <w:pPr>
        <w:pStyle w:val="a8"/>
        <w:numPr>
          <w:ilvl w:val="0"/>
          <w:numId w:val="21"/>
        </w:numPr>
        <w:ind w:left="0" w:firstLine="0"/>
        <w:jc w:val="both"/>
        <w:rPr>
          <w:sz w:val="22"/>
          <w:szCs w:val="22"/>
        </w:rPr>
      </w:pPr>
      <w:r w:rsidRPr="00B57DAB">
        <w:rPr>
          <w:sz w:val="22"/>
          <w:szCs w:val="22"/>
        </w:rPr>
        <w:lastRenderedPageBreak/>
        <w:t>Ապրանքների արտահանման միտումները հունվար-մարտ ամիսներին</w:t>
      </w:r>
      <w:r w:rsidRPr="00B57DAB">
        <w:rPr>
          <w:sz w:val="22"/>
          <w:szCs w:val="22"/>
          <w:vertAlign w:val="superscript"/>
        </w:rPr>
        <w:footnoteReference w:id="14"/>
      </w:r>
    </w:p>
    <w:p w:rsidR="00BC3D9A" w:rsidRPr="00B57DAB" w:rsidRDefault="00BC3D9A" w:rsidP="00BC3D9A">
      <w:pPr>
        <w:keepNext/>
        <w:spacing w:line="276" w:lineRule="auto"/>
        <w:jc w:val="both"/>
        <w:rPr>
          <w:rFonts w:ascii="GHEA Grapalat" w:eastAsia="GHEA Grapalat" w:hAnsi="GHEA Grapalat" w:cs="GHEA Grapalat"/>
          <w:b/>
          <w:sz w:val="22"/>
          <w:szCs w:val="22"/>
          <w:lang w:val="ru-RU"/>
        </w:rPr>
      </w:pPr>
      <w:r w:rsidRPr="00B57DAB">
        <w:rPr>
          <w:rFonts w:ascii="GHEA Grapalat" w:eastAsia="Calibri" w:hAnsi="GHEA Grapalat"/>
          <w:bCs/>
          <w:i/>
          <w:iCs/>
          <w:noProof/>
          <w:szCs w:val="22"/>
        </w:rPr>
        <w:drawing>
          <wp:anchor distT="0" distB="0" distL="114300" distR="114300" simplePos="0" relativeHeight="251661312" behindDoc="1" locked="0" layoutInCell="1" allowOverlap="1" wp14:anchorId="189A93C8" wp14:editId="7D24124E">
            <wp:simplePos x="0" y="0"/>
            <wp:positionH relativeFrom="margin">
              <wp:align>right</wp:align>
            </wp:positionH>
            <wp:positionV relativeFrom="paragraph">
              <wp:posOffset>7961</wp:posOffset>
            </wp:positionV>
            <wp:extent cx="3200400" cy="2227580"/>
            <wp:effectExtent l="0" t="0" r="0" b="1270"/>
            <wp:wrapTight wrapText="bothSides">
              <wp:wrapPolygon edited="0">
                <wp:start x="0" y="0"/>
                <wp:lineTo x="0" y="21612"/>
                <wp:lineTo x="21600" y="21612"/>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6BDF3272" wp14:editId="6C9F1FD8">
            <wp:extent cx="3156439" cy="2268415"/>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եռամսյակի արտահանման աճին գրեթե բոլոր ապրանքախմբերը դրական նպաստում են ունեցել, մասնավորապես դրական են նպաստել հետևյալ ապրանքախմբերը</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«Ոչ թանկարժեք մետաղներ և դրանցից պատրաստված իրեր» (6.1 տոկոսային կետով), «Թանկարժեք և կիսաթանկարժեք քարեր, թանկարժեք մետաղներ դրանցից իրեր» (5.6 տոկոսային կետով), «Հանքահումքային արտադրանք» (4.6 տոկոսային կետով), «Պատրաստի սննդի արտադրանք» (4 տոկոսային կետով)</w:t>
      </w:r>
      <w:r w:rsidRPr="00B57DAB">
        <w:rPr>
          <w:rFonts w:ascii="GHEA Grapalat" w:hAnsi="GHEA Grapalat"/>
          <w:sz w:val="22"/>
          <w:szCs w:val="22"/>
          <w:vertAlign w:val="superscript"/>
          <w:lang w:val="hy-AM"/>
        </w:rPr>
        <w:footnoteReference w:id="15"/>
      </w:r>
      <w:r w:rsidRPr="00B57DAB">
        <w:rPr>
          <w:rFonts w:ascii="GHEA Grapalat" w:hAnsi="GHEA Grapalat" w:cs="GHEA Grapalat"/>
          <w:sz w:val="22"/>
          <w:szCs w:val="22"/>
          <w:lang w:val="hy-AM"/>
        </w:rPr>
        <w:t xml:space="preserve">: Իսկ ընթացիկ տարվա մարտ ամսին վերը նշված խմբերից նպաստումները բացասական են դարձել «Հանքահումքային արտադրանք» (-5.3 տոկոսային կետով) և «Պատրաստի սննդի արտադրանք» (-2.1 տոկոսային կետով) ապրանքախմբերի մասով։ Հիմնականում ՌԴ-ի պահանջարկի նվազման հետևանքով բացասական էր նաև «Կենդանի կենդանիներ և կենդանական ծագման արտադրանք» (-1.6 տոկոսային կետով) ապրանքախմբի նպաստումը: Ընդ որում՝ մարտ ամսին </w:t>
      </w:r>
      <w:r>
        <w:rPr>
          <w:rFonts w:ascii="GHEA Grapalat" w:hAnsi="GHEA Grapalat" w:cs="GHEA Grapalat"/>
          <w:sz w:val="22"/>
          <w:szCs w:val="22"/>
          <w:lang w:val="hy-AM"/>
        </w:rPr>
        <w:t>արտահանման տեմպերի նվազմանը մեծ</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մասամբ նպաստել է դեպի ՌԴ արտահանման 22.5%-ով նվազումը։</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Ներմուծում:</w:t>
      </w:r>
      <w:r w:rsidRPr="00B57DAB">
        <w:rPr>
          <w:rFonts w:ascii="GHEA Grapalat" w:hAnsi="GHEA Grapalat" w:cs="GHEA Grapalat"/>
          <w:sz w:val="22"/>
          <w:szCs w:val="22"/>
          <w:lang w:val="hy-AM"/>
        </w:rPr>
        <w:t xml:space="preserve"> 2022 թվականի առաջին եռամսյակում արձանագրվել է ներմուծման երկնիշ աճ` հիմնականում պայմանավորված տնտեսական ակտիվությամբ և ներքին պահանջարկի վերականգնմամբ: Դոլարային արտահայտությամբ ապրանքների ներմուծման աճը 2022 թվականի առաջին եռամսյակում կազմել է 45.6%: Այդուհանդերձ՝ եռամսյակի ընթացքում նկատվել է ներմուծման աճի տեմպի դանդաղում, և արդեն իսկ մարտ ամսին աճը կազմել է 22.5% (տե՛ս ստորև ներկայացված գծապատկերը): 2022 թվականի հունվար-մարտ ամիսների ՀՀ ապրանքների ներմուծման անվանական դուլարային աճը հիմնականում պայմանավորվել է իրական ծավալների աճով: </w:t>
      </w:r>
    </w:p>
    <w:p w:rsidR="00BC3D9A" w:rsidRPr="00BC3D9A" w:rsidRDefault="00BC3D9A" w:rsidP="00BC3D9A">
      <w:pPr>
        <w:pStyle w:val="a8"/>
        <w:numPr>
          <w:ilvl w:val="0"/>
          <w:numId w:val="21"/>
        </w:numPr>
        <w:ind w:left="0" w:firstLine="0"/>
        <w:jc w:val="both"/>
        <w:rPr>
          <w:sz w:val="22"/>
          <w:szCs w:val="22"/>
          <w:lang w:val="hy-AM"/>
        </w:rPr>
      </w:pPr>
      <w:r w:rsidRPr="00BC3D9A">
        <w:rPr>
          <w:sz w:val="22"/>
          <w:szCs w:val="22"/>
          <w:lang w:val="hy-AM"/>
        </w:rPr>
        <w:lastRenderedPageBreak/>
        <w:t>Ապրանքների ներմուծման միտումները հունվար-մարտ ամիսներին</w:t>
      </w:r>
      <w:r w:rsidRPr="00B57DAB">
        <w:rPr>
          <w:sz w:val="22"/>
          <w:szCs w:val="22"/>
          <w:vertAlign w:val="superscript"/>
        </w:rPr>
        <w:footnoteReference w:id="16"/>
      </w:r>
    </w:p>
    <w:p w:rsidR="00BC3D9A" w:rsidRPr="00B57DAB" w:rsidRDefault="00BC3D9A" w:rsidP="00BC3D9A">
      <w:pPr>
        <w:spacing w:before="240" w:line="360" w:lineRule="auto"/>
        <w:jc w:val="both"/>
        <w:rPr>
          <w:rFonts w:ascii="GHEA Grapalat" w:eastAsia="GHEA Grapalat" w:hAnsi="GHEA Grapalat" w:cs="GHEA Grapalat"/>
          <w:sz w:val="22"/>
          <w:szCs w:val="22"/>
        </w:rPr>
      </w:pPr>
      <w:r w:rsidRPr="00B57DAB">
        <w:rPr>
          <w:rFonts w:ascii="GHEA Grapalat" w:eastAsia="Calibri" w:hAnsi="GHEA Grapalat"/>
          <w:i/>
          <w:noProof/>
          <w:sz w:val="22"/>
          <w:szCs w:val="22"/>
        </w:rPr>
        <w:drawing>
          <wp:anchor distT="0" distB="0" distL="114300" distR="114300" simplePos="0" relativeHeight="251660288" behindDoc="1" locked="0" layoutInCell="1" allowOverlap="1" wp14:anchorId="2F9598FB" wp14:editId="191AA43C">
            <wp:simplePos x="0" y="0"/>
            <wp:positionH relativeFrom="page">
              <wp:posOffset>4065270</wp:posOffset>
            </wp:positionH>
            <wp:positionV relativeFrom="paragraph">
              <wp:posOffset>31750</wp:posOffset>
            </wp:positionV>
            <wp:extent cx="3174365" cy="2125345"/>
            <wp:effectExtent l="0" t="0" r="6985" b="8255"/>
            <wp:wrapTight wrapText="bothSides">
              <wp:wrapPolygon edited="0">
                <wp:start x="0" y="0"/>
                <wp:lineTo x="0" y="21684"/>
                <wp:lineTo x="21648" y="21684"/>
                <wp:lineTo x="21648"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2E1B5D7A" wp14:editId="6ADDD654">
            <wp:extent cx="3183775" cy="211974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գրեթե բոլոր ապրանքախմբերով տեղի է ունեցել ներմուծման՝ դոլարային արտահայտությամբ ծավալների աճ: Աճին ամենամեծ նպաստումն են ունեցել «Հանքահումքային արտադրանք» (8 տոկոսային կետ, հիմնականում՝ բնական գազ), «Վերգետնյա, օդային և ջրային տրանսպորտի միջոցներ»</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(6 տոկոսային կետ), «Քիմիայի և դրա հետ կապված արդյունաբերության ճյուղերի արտադրանք» (5.3 տոկոսային կետ), «Մեքենաներ, սարքավորումներ և մեխանիզմներ» (4.9 տոկոսային կետ), «Ոչ թանկարժեք մետաղներ և դրանցից պատրաստված իրեր» (4.9 տոկոսային կետ) ապրանքախմբերը</w:t>
      </w:r>
      <w:r w:rsidRPr="00B57DAB">
        <w:rPr>
          <w:rFonts w:ascii="GHEA Grapalat" w:hAnsi="GHEA Grapalat"/>
          <w:sz w:val="22"/>
          <w:szCs w:val="22"/>
          <w:vertAlign w:val="superscript"/>
          <w:lang w:val="hy-AM"/>
        </w:rPr>
        <w:footnoteReference w:id="17"/>
      </w:r>
      <w:r w:rsidRPr="00B57DAB">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Ըստ ապրանքների լայն տնտեսական դասակարգման</w:t>
      </w:r>
      <w:r w:rsidRPr="00B57DAB">
        <w:rPr>
          <w:rFonts w:ascii="GHEA Grapalat" w:hAnsi="GHEA Grapalat" w:cs="GHEA Grapalat"/>
          <w:sz w:val="22"/>
          <w:szCs w:val="22"/>
          <w:vertAlign w:val="superscript"/>
          <w:lang w:val="hy-AM"/>
        </w:rPr>
        <w:footnoteReference w:id="18"/>
      </w:r>
      <w:r w:rsidRPr="00B57DAB">
        <w:rPr>
          <w:rFonts w:ascii="GHEA Grapalat" w:hAnsi="GHEA Grapalat" w:cs="GHEA Grapalat"/>
          <w:sz w:val="22"/>
          <w:szCs w:val="22"/>
          <w:lang w:val="hy-AM"/>
        </w:rPr>
        <w:t xml:space="preserve"> ներմուծման հունվար-մարտ ամիսների աճին նպաստել են «Միջանկյալ սպառման ապրանքները» (25.5 տոկոսային կետով, այդ թվում՝ արդյունաբերական մատակարարումները՝ 13.5 տոկոսային կետով), «Վերջնական սպառման ապրանքները» (10.5 տոկոսային կետով), «Կապիտալ ապրանքները» (5 տոկոսային կետով) և «Մարդատար ավտոմեքենաները» (4.7 տոկոսային կետով)</w:t>
      </w:r>
      <w:r w:rsidRPr="00B57DAB">
        <w:rPr>
          <w:rFonts w:ascii="GHEA Grapalat" w:hAnsi="GHEA Grapalat"/>
          <w:sz w:val="22"/>
          <w:szCs w:val="22"/>
          <w:vertAlign w:val="superscript"/>
          <w:lang w:val="hy-AM"/>
        </w:rPr>
        <w:footnoteReference w:id="19"/>
      </w:r>
      <w:r w:rsidRPr="00B57DAB">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Ներմուծման ծածկման գործակից:</w:t>
      </w:r>
      <w:r w:rsidRPr="00B57DAB">
        <w:rPr>
          <w:rFonts w:ascii="GHEA Grapalat" w:hAnsi="GHEA Grapalat" w:cs="GHEA Grapalat"/>
          <w:sz w:val="22"/>
          <w:szCs w:val="22"/>
          <w:lang w:val="hy-AM"/>
        </w:rPr>
        <w:t xml:space="preserve"> Ներմուծման ծածկման գործակ</w:t>
      </w:r>
      <w:sdt>
        <w:sdtPr>
          <w:rPr>
            <w:rFonts w:ascii="GHEA Grapalat" w:hAnsi="GHEA Grapalat" w:cs="GHEA Grapalat"/>
            <w:sz w:val="22"/>
            <w:szCs w:val="22"/>
            <w:lang w:val="hy-AM"/>
          </w:rPr>
          <w:tag w:val="goog_rdk_99"/>
          <w:id w:val="-1759356997"/>
        </w:sdtPr>
        <w:sdtContent>
          <w:r w:rsidRPr="00B57DAB">
            <w:rPr>
              <w:rFonts w:ascii="GHEA Grapalat" w:hAnsi="GHEA Grapalat" w:cs="GHEA Grapalat"/>
              <w:sz w:val="22"/>
              <w:szCs w:val="22"/>
              <w:lang w:val="hy-AM"/>
            </w:rPr>
            <w:t>ի</w:t>
          </w:r>
        </w:sdtContent>
      </w:sdt>
      <w:r w:rsidRPr="00B57DAB">
        <w:rPr>
          <w:rFonts w:ascii="GHEA Grapalat" w:hAnsi="GHEA Grapalat" w:cs="GHEA Grapalat"/>
          <w:sz w:val="22"/>
          <w:szCs w:val="22"/>
          <w:lang w:val="hy-AM"/>
        </w:rPr>
        <w:t>ցը 2022 թվականի առաջին եռամսյակում նախորդ տարվա նույն ժամանակահատվածի նկատմամբ վատթարացել է. 2022 թվականի հունվար-մարտին արտահանման հաշվին ֆինանսավորվել է ներմուծման շուրջ 64%</w:t>
      </w:r>
      <w:r w:rsidRPr="00BC3D9A">
        <w:rPr>
          <w:rFonts w:ascii="GHEA Grapalat" w:hAnsi="GHEA Grapalat" w:cs="GHEA Grapalat"/>
          <w:sz w:val="22"/>
          <w:szCs w:val="22"/>
          <w:lang w:val="hy-AM"/>
        </w:rPr>
        <w:noBreakHyphen/>
      </w:r>
      <w:r w:rsidRPr="00B57DAB">
        <w:rPr>
          <w:rFonts w:ascii="GHEA Grapalat" w:hAnsi="GHEA Grapalat" w:cs="GHEA Grapalat"/>
          <w:sz w:val="22"/>
          <w:szCs w:val="22"/>
          <w:lang w:val="hy-AM"/>
        </w:rPr>
        <w:t>ը:</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C3D9A" w:rsidRDefault="00BC3D9A" w:rsidP="00BC3D9A">
      <w:pPr>
        <w:pStyle w:val="a8"/>
        <w:numPr>
          <w:ilvl w:val="0"/>
          <w:numId w:val="21"/>
        </w:numPr>
        <w:ind w:left="0" w:firstLine="0"/>
        <w:jc w:val="both"/>
        <w:rPr>
          <w:sz w:val="22"/>
          <w:szCs w:val="22"/>
          <w:lang w:val="hy-AM"/>
        </w:rPr>
      </w:pPr>
      <w:r w:rsidRPr="00BC3D9A">
        <w:rPr>
          <w:sz w:val="22"/>
          <w:szCs w:val="22"/>
          <w:lang w:val="hy-AM"/>
        </w:rPr>
        <w:lastRenderedPageBreak/>
        <w:t>Ներմուծման ծածկման գործակիցը հունվար-մարտ ամիսներին</w:t>
      </w:r>
      <w:r w:rsidRPr="00B57DAB">
        <w:rPr>
          <w:sz w:val="22"/>
          <w:szCs w:val="22"/>
          <w:vertAlign w:val="superscript"/>
        </w:rPr>
        <w:footnoteReference w:id="20"/>
      </w:r>
    </w:p>
    <w:p w:rsidR="00BC3D9A" w:rsidRPr="00B57DAB" w:rsidRDefault="00BC3D9A" w:rsidP="00BC3D9A">
      <w:pPr>
        <w:jc w:val="center"/>
        <w:rPr>
          <w:rFonts w:ascii="GHEA Grapalat" w:eastAsia="GHEA Grapalat" w:hAnsi="GHEA Grapalat" w:cs="GHEA Grapalat"/>
          <w:i/>
          <w:color w:val="000000"/>
          <w:sz w:val="22"/>
          <w:szCs w:val="22"/>
        </w:rPr>
      </w:pPr>
      <w:r w:rsidRPr="00B57DAB">
        <w:rPr>
          <w:rFonts w:ascii="GHEA Grapalat" w:hAnsi="GHEA Grapalat"/>
          <w:i/>
          <w:noProof/>
          <w:sz w:val="22"/>
          <w:szCs w:val="22"/>
        </w:rPr>
        <w:drawing>
          <wp:inline distT="0" distB="0" distL="0" distR="0" wp14:anchorId="5B743985" wp14:editId="14CF7777">
            <wp:extent cx="6365631" cy="2083777"/>
            <wp:effectExtent l="0" t="0" r="16510" b="120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առևտուրն ըստ գործընկեր երկրների:</w:t>
      </w:r>
      <w:r w:rsidRPr="00B57DAB">
        <w:rPr>
          <w:rFonts w:ascii="GHEA Grapalat" w:hAnsi="GHEA Grapalat" w:cs="GHEA Grapalat"/>
          <w:sz w:val="22"/>
          <w:szCs w:val="22"/>
          <w:lang w:val="hy-AM"/>
        </w:rPr>
        <w:t xml:space="preserve"> 2022 թվականի առաջին եռամսյակում արտաքին առևտրաշրջանառության աշխարհագրական կառուցվածքում էական փոփոխություններ տեղի չեն ունեցել: ՀՀ արտաքին առևտրաշրջանառության 32.9%-ը բաժին է ընկել ԱՊՀ (որից 31.1%</w:t>
      </w:r>
      <w:r w:rsidRPr="00B57DAB">
        <w:rPr>
          <w:rFonts w:ascii="GHEA Grapalat" w:hAnsi="GHEA Grapalat" w:cs="GHEA Grapalat"/>
          <w:sz w:val="22"/>
          <w:szCs w:val="22"/>
          <w:lang w:val="hy-AM"/>
        </w:rPr>
        <w:noBreakHyphen/>
        <w:t>ը` ԵԱՏՄ), 19.4%-ը` ԵՄ և 47.7%-ը` այլ երկրներին: ՀՀ արտաքին առևտրաշրջանառության մեջ ԱՊՀ երկրների կշիռ</w:t>
      </w:r>
      <w:r w:rsidRPr="00BC3D9A">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ավելացել է 0</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1, այլ երկրներինը՝ 1.7 տոկոսային կետով, իս</w:t>
      </w:r>
      <w:r>
        <w:rPr>
          <w:rFonts w:ascii="GHEA Grapalat" w:hAnsi="GHEA Grapalat" w:cs="GHEA Grapalat"/>
          <w:sz w:val="22"/>
          <w:szCs w:val="22"/>
          <w:lang w:val="hy-AM"/>
        </w:rPr>
        <w:t>կ ԵՄ-ի կշիռը նվազել է 1.8 տոկոս</w:t>
      </w:r>
      <w:r w:rsidRPr="00B57DAB">
        <w:rPr>
          <w:rFonts w:ascii="GHEA Grapalat" w:hAnsi="GHEA Grapalat" w:cs="GHEA Grapalat"/>
          <w:sz w:val="22"/>
          <w:szCs w:val="22"/>
          <w:lang w:val="hy-AM"/>
        </w:rPr>
        <w:t>ա</w:t>
      </w:r>
      <w:r w:rsidRPr="00BC3D9A">
        <w:rPr>
          <w:rFonts w:ascii="GHEA Grapalat" w:hAnsi="GHEA Grapalat" w:cs="GHEA Grapalat"/>
          <w:sz w:val="22"/>
          <w:szCs w:val="22"/>
          <w:lang w:val="hy-AM"/>
        </w:rPr>
        <w:t>յ</w:t>
      </w:r>
      <w:r w:rsidRPr="00B57DAB">
        <w:rPr>
          <w:rFonts w:ascii="GHEA Grapalat" w:hAnsi="GHEA Grapalat" w:cs="GHEA Grapalat"/>
          <w:sz w:val="22"/>
          <w:szCs w:val="22"/>
          <w:lang w:val="hy-AM"/>
        </w:rPr>
        <w:t xml:space="preserve">ին կետով։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խոշոր առևտրային գործընկեր՝ ՌԴ-ի հետ առևտրաշրջանառության ծավալները ռուս-ուկրաինական հակամարտության արդյունքում սկսել են նվազել, մասնավորապես՝ մարտ ամսին արտահանումը դեպի ՌԴ նվազել է 22.5%-ով, իսկ ներմուծումը ՌԴ-ից ցուցաբերել է աճի տեմպի դանդաղման միտում: 2022 թվականի առաջին եռամսյակում ՌԴ-ի կշիռը կազմել է ՀՀ առևտրաշրջանառության 30.2%: ՀՀ խոշոր առևտրային գործընկերների շրջանակում ընդգրկված էին նաև Չինաստանը (14.9%), Իրանը (6.7%), Գերմանիան (4.2%) և այլն:</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Դրամական փոխանցումներ</w:t>
      </w:r>
      <w:r w:rsidRPr="00B57DAB">
        <w:rPr>
          <w:rFonts w:ascii="GHEA Grapalat" w:hAnsi="GHEA Grapalat" w:cs="GHEA Grapalat"/>
          <w:b/>
          <w:i/>
          <w:sz w:val="22"/>
          <w:szCs w:val="22"/>
          <w:vertAlign w:val="superscript"/>
          <w:lang w:val="hy-AM"/>
        </w:rPr>
        <w:footnoteReference w:id="21"/>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Չնայած տարեսկզբի բարձր աճի տեմպերին՝ մարտ ամսին ռուս-ուկրաինական հակամարտության արդյունքում նկատվել է դրամական փոխանցումների զուտ ներհոսքի նվազում։ Տնտեսություն ներհոսող դրամական զուտ փոխանցումները (առևտրային և ոչ առևտրային բնույթի) 2022 թվականի հունվար-մարտ ամիսներին աճել են մոտ 44.9%-ով, հիմնականում</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ՌԴ-ի հաշվին: Այդուհանդերձ գնահատվում է, որ ռուս-ուկրաինական հակամարտության և ՌԴ-ի նկատմամբ կիրառվող պատժամիջոցների պայմաններում դրամական փոխանցումների կառուցվածքում ոչ առևտրային բնույթի դրամական փոխանցումների անկում է </w:t>
      </w:r>
      <w:r w:rsidRPr="00B57DAB">
        <w:rPr>
          <w:rFonts w:ascii="GHEA Grapalat" w:hAnsi="GHEA Grapalat" w:cs="GHEA Grapalat"/>
          <w:sz w:val="22"/>
          <w:szCs w:val="22"/>
          <w:lang w:val="hy-AM"/>
        </w:rPr>
        <w:lastRenderedPageBreak/>
        <w:t xml:space="preserve">արձանագրվել, հատկապես՝ մարտ ամսին, ինչին նպաստել է նաև ռուսական ռուբլու կտրուկ արժեզրկումը: </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pStyle w:val="Heading6"/>
        <w:ind w:left="567"/>
        <w:rPr>
          <w:rFonts w:ascii="GHEA Grapalat" w:hAnsi="GHEA Grapalat"/>
          <w:b/>
          <w:sz w:val="22"/>
          <w:szCs w:val="22"/>
          <w:u w:val="none"/>
        </w:rPr>
      </w:pPr>
      <w:bookmarkStart w:id="17" w:name="_Toc71311886"/>
      <w:r w:rsidRPr="00B57DAB">
        <w:rPr>
          <w:rFonts w:ascii="GHEA Grapalat" w:hAnsi="GHEA Grapalat"/>
          <w:b/>
          <w:sz w:val="22"/>
          <w:szCs w:val="22"/>
          <w:u w:val="none"/>
        </w:rPr>
        <w:t>Փոխարժեքներ</w:t>
      </w:r>
      <w:bookmarkEnd w:id="17"/>
    </w:p>
    <w:p w:rsidR="00BC3D9A" w:rsidRPr="00B57DAB" w:rsidRDefault="00BC3D9A" w:rsidP="00BC3D9A">
      <w:pPr>
        <w:spacing w:line="360" w:lineRule="auto"/>
        <w:ind w:firstLine="567"/>
        <w:jc w:val="both"/>
        <w:rPr>
          <w:rFonts w:ascii="GHEA Grapalat" w:hAnsi="GHEA Grapalat" w:cs="GHEA Grapalat"/>
          <w:sz w:val="22"/>
          <w:szCs w:val="22"/>
          <w:lang w:val="hy-AM"/>
        </w:rPr>
      </w:pPr>
      <w:bookmarkStart w:id="18" w:name="_Toc6389323"/>
      <w:bookmarkStart w:id="19" w:name="_Toc37763590"/>
      <w:r w:rsidRPr="00B57DAB">
        <w:rPr>
          <w:rFonts w:ascii="GHEA Grapalat" w:hAnsi="GHEA Grapalat" w:cs="GHEA Grapalat"/>
          <w:b/>
          <w:i/>
          <w:sz w:val="22"/>
          <w:szCs w:val="22"/>
          <w:lang w:val="hy-AM"/>
        </w:rPr>
        <w:t>Երկկողմանի փոխարժեքներ։</w:t>
      </w:r>
      <w:r w:rsidRPr="00B57DAB">
        <w:rPr>
          <w:rFonts w:ascii="GHEA Grapalat" w:hAnsi="GHEA Grapalat" w:cs="GHEA Grapalat"/>
          <w:sz w:val="22"/>
          <w:szCs w:val="22"/>
          <w:lang w:val="hy-AM"/>
        </w:rPr>
        <w:t xml:space="preserve"> 2022 թվականի առաջին եռամսյակում ՀՀ դրամը շարունակել է դրսևորել կայուն վարքագիծ, բացառությամբ մարտ ամսի, երբ ռուս-ուկրաինական հակամարտության հետևանքով ռուբլու ժամանակավոր տատանումը որոշ չափով փոխանցվել է նաև ՀՀ արտարժութային շուկա։ ԱՄՆ դոլարի, Եվրոյի և ռուսական ռուբլու նկատմամբ ՀՀ դրամը 2022 թվականի առաջին եռամսյակում պահպանվել է 2021 թվականի տարեվերջի մակարդակներին մոտ, իսկ առաջին եռամսյակի</w:t>
      </w:r>
      <w:r w:rsidRPr="00BC3D9A">
        <w:rPr>
          <w:rFonts w:ascii="GHEA Grapalat" w:hAnsi="GHEA Grapalat" w:cs="GHEA Grapalat"/>
          <w:sz w:val="22"/>
          <w:szCs w:val="22"/>
          <w:lang w:val="hy-AM"/>
        </w:rPr>
        <w:t xml:space="preserve"> համեմատ</w:t>
      </w:r>
      <w:r w:rsidRPr="00B57DAB">
        <w:rPr>
          <w:rFonts w:ascii="GHEA Grapalat" w:hAnsi="GHEA Grapalat" w:cs="GHEA Grapalat"/>
          <w:sz w:val="22"/>
          <w:szCs w:val="22"/>
          <w:lang w:val="hy-AM"/>
        </w:rPr>
        <w:t xml:space="preserve"> արժևորվել է համապատասխանաբար 7.8%</w:t>
      </w:r>
      <w:r w:rsidRPr="00BC3D9A">
        <w:rPr>
          <w:rFonts w:ascii="GHEA Grapalat" w:hAnsi="GHEA Grapalat" w:cs="GHEA Grapalat"/>
          <w:sz w:val="22"/>
          <w:szCs w:val="22"/>
          <w:lang w:val="hy-AM"/>
        </w:rPr>
        <w:t>-ով</w:t>
      </w:r>
      <w:r w:rsidRPr="00B57DAB">
        <w:rPr>
          <w:rFonts w:ascii="GHEA Grapalat" w:hAnsi="GHEA Grapalat" w:cs="GHEA Grapalat"/>
          <w:sz w:val="22"/>
          <w:szCs w:val="22"/>
          <w:lang w:val="hy-AM"/>
        </w:rPr>
        <w:t>, 15</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6%</w:t>
      </w:r>
      <w:r w:rsidRPr="00BC3D9A">
        <w:rPr>
          <w:rFonts w:ascii="GHEA Grapalat" w:hAnsi="GHEA Grapalat" w:cs="GHEA Grapalat"/>
          <w:sz w:val="22"/>
          <w:szCs w:val="22"/>
          <w:lang w:val="hy-AM"/>
        </w:rPr>
        <w:t>-ով</w:t>
      </w:r>
      <w:r w:rsidRPr="00B57DAB">
        <w:rPr>
          <w:rFonts w:ascii="GHEA Grapalat" w:hAnsi="GHEA Grapalat" w:cs="GHEA Grapalat"/>
          <w:sz w:val="22"/>
          <w:szCs w:val="22"/>
          <w:lang w:val="hy-AM"/>
        </w:rPr>
        <w:t xml:space="preserve"> և 22.1%-ով։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Տարվա առաջին եռամսյակում ԱՄՆ դոլարի և եվրոյի նկատմամբ ՀՀ դրամը տարեսկզբից մինչև փետրվարի վերջ հարաբերականորեն կայուն վարքագիծ է դրսևորել, որից հետո ռուս-ուկրաինական</w:t>
      </w:r>
      <w:r>
        <w:rPr>
          <w:rFonts w:ascii="GHEA Grapalat" w:hAnsi="GHEA Grapalat" w:cs="GHEA Grapalat"/>
          <w:sz w:val="22"/>
          <w:szCs w:val="22"/>
          <w:lang w:val="hy-AM"/>
        </w:rPr>
        <w:t xml:space="preserve"> հակամարտությ</w:t>
      </w:r>
      <w:r w:rsidRPr="00BC3D9A">
        <w:rPr>
          <w:rFonts w:ascii="GHEA Grapalat" w:hAnsi="GHEA Grapalat" w:cs="GHEA Grapalat"/>
          <w:sz w:val="22"/>
          <w:szCs w:val="22"/>
          <w:lang w:val="hy-AM"/>
        </w:rPr>
        <w:t>ա</w:t>
      </w:r>
      <w:r>
        <w:rPr>
          <w:rFonts w:ascii="GHEA Grapalat" w:hAnsi="GHEA Grapalat" w:cs="GHEA Grapalat"/>
          <w:sz w:val="22"/>
          <w:szCs w:val="22"/>
          <w:lang w:val="hy-AM"/>
        </w:rPr>
        <w:t>ն և ՌԴ-ի նկատմամ</w:t>
      </w:r>
      <w:r w:rsidRPr="00B57DAB">
        <w:rPr>
          <w:rFonts w:ascii="GHEA Grapalat" w:hAnsi="GHEA Grapalat" w:cs="GHEA Grapalat"/>
          <w:sz w:val="22"/>
          <w:szCs w:val="22"/>
          <w:lang w:val="hy-AM"/>
        </w:rPr>
        <w:t>բ կիրառված պատժամիջոցների հետևանքով ձևավորված անորոշություններով</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պայմանավորված</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կարճատև արժեզրկվել է, այնուհետև կայունացման միտումներ է դրսևորել։</w:t>
      </w:r>
    </w:p>
    <w:p w:rsidR="00BC3D9A" w:rsidRPr="00B57DAB" w:rsidRDefault="00BC3D9A" w:rsidP="00BC3D9A">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Ռուբլու նկատմամ</w:t>
      </w:r>
      <w:r w:rsidRPr="00B57DAB">
        <w:rPr>
          <w:rFonts w:ascii="GHEA Grapalat" w:hAnsi="GHEA Grapalat" w:cs="GHEA Grapalat"/>
          <w:sz w:val="22"/>
          <w:szCs w:val="22"/>
          <w:lang w:val="hy-AM"/>
        </w:rPr>
        <w:t>բ դրամը դրսևորել է հայելային պատկեր</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տարեսկզբից կայուն վարքագիծ է նկատվել, այնուհետև փետրվարի վերջին տասնօրյակից մինչև մարտի առաջին տասնօրյակը կտրուկ արժևորվել է՝ միջազգային շուկայում ռուսական ռուբլու դիրքի թուլացմամբ պայմանավորված, այնուհետև արժեզրկվել է՝ վերադառնալով գրեթե մինչև ռուս-ուկրաինական հակամարտությունը դրսևորած</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նախապատերազմական մակարդակին։</w:t>
      </w:r>
      <w:r>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Ընթացիկ տարվա առաջին եռամսյակում ԱՄՆ դոլարի նկատմամբ դրամի առավելագույն տատանումը կազմել է 13.2%, իսկ փոխարժեքի առավելագույն՝ 518.3 արժեքը գրանցվել է մարտի 11</w:t>
      </w:r>
      <w:r w:rsidRPr="00BC3D9A">
        <w:rPr>
          <w:rFonts w:ascii="GHEA Grapalat" w:hAnsi="GHEA Grapalat" w:cs="GHEA Grapalat"/>
          <w:sz w:val="22"/>
          <w:szCs w:val="22"/>
          <w:lang w:val="hy-AM"/>
        </w:rPr>
        <w:noBreakHyphen/>
      </w:r>
      <w:r w:rsidRPr="00B57DAB">
        <w:rPr>
          <w:rFonts w:ascii="GHEA Grapalat" w:hAnsi="GHEA Grapalat" w:cs="GHEA Grapalat"/>
          <w:sz w:val="22"/>
          <w:szCs w:val="22"/>
          <w:lang w:val="hy-AM"/>
        </w:rPr>
        <w:t>ին</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եռամսյակի միջին փոխարժեքը կազմել է 486.4, ռուսական ռուբլու տատանումը կազմել է 43</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4%, իսկ եվրոյինը՝ շուրջ 17%։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Արդյունավետ փոխարժեքներ:</w:t>
      </w:r>
      <w:r w:rsidRPr="00B57DAB">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թվականի առաջին երկու ամիսներին արժևորվել է 13.1%-ով, իսկ իրակա</w:t>
      </w:r>
      <w:r>
        <w:rPr>
          <w:rFonts w:ascii="GHEA Grapalat" w:hAnsi="GHEA Grapalat" w:cs="GHEA Grapalat"/>
          <w:sz w:val="22"/>
          <w:szCs w:val="22"/>
          <w:lang w:val="hy-AM"/>
        </w:rPr>
        <w:t>ն արտահայտությամբ՝ 9.6%-ով, ինչ</w:t>
      </w:r>
      <w:r w:rsidRPr="00BC3D9A">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իր բացասական ազդեցությունն է թողել</w:t>
      </w:r>
      <w:r w:rsidRPr="00B57DAB" w:rsidDel="00A327A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առևտրային հաշվեկշռի վրա։</w:t>
      </w:r>
    </w:p>
    <w:tbl>
      <w:tblPr>
        <w:tblStyle w:val="TableGrid912"/>
        <w:tblW w:w="10602" w:type="dxa"/>
        <w:tblInd w:w="-5" w:type="dxa"/>
        <w:tblLayout w:type="fixed"/>
        <w:tblLook w:val="04A0" w:firstRow="1" w:lastRow="0" w:firstColumn="1" w:lastColumn="0" w:noHBand="0" w:noVBand="1"/>
      </w:tblPr>
      <w:tblGrid>
        <w:gridCol w:w="5358"/>
        <w:gridCol w:w="5244"/>
      </w:tblGrid>
      <w:tr w:rsidR="00BC3D9A" w:rsidRPr="00BC3D9A" w:rsidTr="00BC3D9A">
        <w:trPr>
          <w:trHeight w:val="309"/>
        </w:trPr>
        <w:tc>
          <w:tcPr>
            <w:tcW w:w="5358" w:type="dxa"/>
          </w:tcPr>
          <w:p w:rsidR="00BC3D9A" w:rsidRPr="00BC3D9A" w:rsidRDefault="00BC3D9A" w:rsidP="00BC3D9A">
            <w:pPr>
              <w:ind w:right="-267"/>
              <w:jc w:val="both"/>
              <w:rPr>
                <w:rFonts w:ascii="GHEA Grapalat" w:hAnsi="GHEA Grapalat" w:cs="Sylfaen"/>
                <w:sz w:val="18"/>
                <w:szCs w:val="18"/>
                <w:lang w:val="hy-AM"/>
              </w:rPr>
            </w:pPr>
            <w:r w:rsidRPr="00BC3D9A">
              <w:rPr>
                <w:rStyle w:val="Char0"/>
                <w:b/>
                <w:i/>
                <w:lang w:val="hy-AM"/>
              </w:rPr>
              <w:lastRenderedPageBreak/>
              <w:t>Գծապատկեր 10.</w:t>
            </w:r>
            <w:r w:rsidRPr="00B57DAB">
              <w:rPr>
                <w:rFonts w:ascii="GHEA Grapalat" w:hAnsi="GHEA Grapalat" w:cs="Sylfaen"/>
                <w:b/>
                <w:i/>
                <w:sz w:val="18"/>
                <w:szCs w:val="18"/>
                <w:lang w:val="hy-AM"/>
              </w:rPr>
              <w:t xml:space="preserve"> </w:t>
            </w:r>
            <w:r w:rsidRPr="00B57DAB">
              <w:rPr>
                <w:rFonts w:ascii="GHEA Grapalat" w:hAnsi="GHEA Grapalat" w:cs="Sylfaen"/>
                <w:sz w:val="18"/>
                <w:szCs w:val="18"/>
                <w:lang w:val="hy-AM"/>
              </w:rPr>
              <w:t>ՀՀ դրամի անվանական</w:t>
            </w:r>
            <w:r w:rsidRPr="00BC3D9A">
              <w:rPr>
                <w:rFonts w:ascii="GHEA Grapalat" w:hAnsi="GHEA Grapalat" w:cs="Sylfaen"/>
                <w:sz w:val="18"/>
                <w:szCs w:val="18"/>
                <w:lang w:val="hy-AM"/>
              </w:rPr>
              <w:t xml:space="preserve"> </w:t>
            </w:r>
            <w:r w:rsidRPr="00B57DAB">
              <w:rPr>
                <w:rFonts w:ascii="GHEA Grapalat" w:hAnsi="GHEA Grapalat" w:cs="Sylfaen"/>
                <w:sz w:val="18"/>
                <w:szCs w:val="18"/>
                <w:lang w:val="hy-AM"/>
              </w:rPr>
              <w:t>փոխարժեքի</w:t>
            </w:r>
          </w:p>
          <w:p w:rsidR="00BC3D9A" w:rsidRPr="00BC3D9A" w:rsidRDefault="00BC3D9A" w:rsidP="00BC3D9A">
            <w:pPr>
              <w:ind w:right="-267"/>
              <w:jc w:val="both"/>
              <w:rPr>
                <w:rFonts w:ascii="GHEA Grapalat" w:hAnsi="GHEA Grapalat" w:cs="Sylfaen"/>
                <w:sz w:val="18"/>
                <w:szCs w:val="18"/>
                <w:lang w:val="hy-AM"/>
              </w:rPr>
            </w:pPr>
            <w:r w:rsidRPr="00B57DAB">
              <w:rPr>
                <w:rFonts w:ascii="GHEA Grapalat" w:hAnsi="GHEA Grapalat" w:cs="Sylfaen"/>
                <w:sz w:val="18"/>
                <w:szCs w:val="18"/>
                <w:lang w:val="hy-AM"/>
              </w:rPr>
              <w:t xml:space="preserve"> օրական դինամիկան</w:t>
            </w:r>
            <w:r w:rsidRPr="00BC3D9A">
              <w:rPr>
                <w:rFonts w:ascii="GHEA Grapalat" w:hAnsi="GHEA Grapalat" w:cs="Sylfaen"/>
                <w:sz w:val="18"/>
                <w:szCs w:val="18"/>
                <w:lang w:val="hy-AM"/>
              </w:rPr>
              <w:t xml:space="preserve"> </w:t>
            </w:r>
            <w:r w:rsidRPr="00B57DAB">
              <w:rPr>
                <w:rFonts w:ascii="GHEA Grapalat" w:hAnsi="GHEA Grapalat" w:cs="Sylfaen"/>
                <w:sz w:val="18"/>
                <w:szCs w:val="18"/>
                <w:lang w:val="hy-AM"/>
              </w:rPr>
              <w:t>հիմնական արժույթների նկատմամբ</w:t>
            </w:r>
          </w:p>
          <w:p w:rsidR="00BC3D9A" w:rsidRPr="00B57DAB" w:rsidRDefault="00BC3D9A" w:rsidP="00BC3D9A">
            <w:pPr>
              <w:ind w:right="-267"/>
              <w:jc w:val="both"/>
              <w:rPr>
                <w:rFonts w:ascii="GHEA Grapalat" w:hAnsi="GHEA Grapalat" w:cs="Sylfaen"/>
                <w:i/>
                <w:sz w:val="18"/>
                <w:szCs w:val="18"/>
                <w:lang w:val="hy-AM"/>
              </w:rPr>
            </w:pPr>
            <w:r w:rsidRPr="00B57DAB">
              <w:rPr>
                <w:rFonts w:ascii="GHEA Grapalat" w:hAnsi="GHEA Grapalat" w:cs="Sylfaen"/>
                <w:sz w:val="18"/>
                <w:szCs w:val="18"/>
                <w:lang w:val="hy-AM"/>
              </w:rPr>
              <w:t>(աճ՝ դրամի արժևորում</w:t>
            </w:r>
            <w:r w:rsidRPr="00B57DAB">
              <w:rPr>
                <w:rFonts w:ascii="GHEA Grapalat" w:hAnsi="GHEA Grapalat" w:cs="Sylfaen"/>
                <w:i/>
                <w:sz w:val="18"/>
                <w:szCs w:val="18"/>
                <w:lang w:val="hy-AM"/>
              </w:rPr>
              <w:t>)</w:t>
            </w:r>
          </w:p>
          <w:p w:rsidR="00BC3D9A" w:rsidRPr="00B57DAB" w:rsidRDefault="00BC3D9A" w:rsidP="00BC3D9A">
            <w:pPr>
              <w:spacing w:line="276" w:lineRule="auto"/>
              <w:ind w:right="-268"/>
              <w:jc w:val="both"/>
              <w:rPr>
                <w:rFonts w:ascii="GHEA Grapalat" w:hAnsi="GHEA Grapalat" w:cs="Sylfaen"/>
                <w:i/>
                <w:sz w:val="18"/>
                <w:szCs w:val="18"/>
                <w:lang w:val="hy-AM"/>
              </w:rPr>
            </w:pPr>
            <w:r w:rsidRPr="00B57DAB">
              <w:rPr>
                <w:rFonts w:ascii="GHEA Grapalat" w:hAnsi="GHEA Grapalat" w:cs="Sylfaen"/>
                <w:noProof/>
                <w:sz w:val="18"/>
                <w:szCs w:val="18"/>
              </w:rPr>
              <w:drawing>
                <wp:anchor distT="0" distB="0" distL="114300" distR="114300" simplePos="0" relativeHeight="251662336" behindDoc="1" locked="0" layoutInCell="1" allowOverlap="1" wp14:anchorId="7626C307" wp14:editId="4814E997">
                  <wp:simplePos x="0" y="0"/>
                  <wp:positionH relativeFrom="margin">
                    <wp:posOffset>43180</wp:posOffset>
                  </wp:positionH>
                  <wp:positionV relativeFrom="paragraph">
                    <wp:posOffset>65405</wp:posOffset>
                  </wp:positionV>
                  <wp:extent cx="3177540" cy="1790700"/>
                  <wp:effectExtent l="0" t="0" r="3810" b="0"/>
                  <wp:wrapTight wrapText="bothSides">
                    <wp:wrapPolygon edited="0">
                      <wp:start x="0" y="0"/>
                      <wp:lineTo x="0" y="21600"/>
                      <wp:lineTo x="21626" y="21600"/>
                      <wp:lineTo x="2162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57DAB">
              <w:rPr>
                <w:rFonts w:ascii="GHEA Grapalat" w:hAnsi="GHEA Grapalat" w:cs="Sylfaen"/>
                <w:i/>
                <w:sz w:val="18"/>
                <w:szCs w:val="18"/>
                <w:lang w:val="hy-AM"/>
              </w:rPr>
              <w:t>Աղբյուրը՝ ՀՀ ԿԲ, ՀՀ ՖՆ հաշվարկներ</w:t>
            </w:r>
          </w:p>
        </w:tc>
        <w:tc>
          <w:tcPr>
            <w:tcW w:w="5244" w:type="dxa"/>
          </w:tcPr>
          <w:p w:rsidR="00BC3D9A" w:rsidRPr="00BC3D9A" w:rsidRDefault="00BC3D9A" w:rsidP="00BC3D9A">
            <w:pPr>
              <w:ind w:right="217"/>
              <w:jc w:val="both"/>
              <w:rPr>
                <w:rFonts w:ascii="GHEA Grapalat" w:hAnsi="GHEA Grapalat" w:cs="Sylfaen"/>
                <w:sz w:val="18"/>
                <w:szCs w:val="18"/>
                <w:lang w:val="hy-AM"/>
              </w:rPr>
            </w:pPr>
            <w:r w:rsidRPr="00B57DAB">
              <w:rPr>
                <w:rStyle w:val="Char0"/>
                <w:b/>
                <w:i/>
              </w:rPr>
              <w:drawing>
                <wp:anchor distT="0" distB="0" distL="114300" distR="114300" simplePos="0" relativeHeight="251663360" behindDoc="1" locked="0" layoutInCell="1" allowOverlap="1" wp14:anchorId="65521E0B" wp14:editId="1A57842F">
                  <wp:simplePos x="0" y="0"/>
                  <wp:positionH relativeFrom="column">
                    <wp:posOffset>-1270</wp:posOffset>
                  </wp:positionH>
                  <wp:positionV relativeFrom="paragraph">
                    <wp:posOffset>536308</wp:posOffset>
                  </wp:positionV>
                  <wp:extent cx="3276600" cy="1781175"/>
                  <wp:effectExtent l="0" t="0" r="0" b="9525"/>
                  <wp:wrapTight wrapText="bothSides">
                    <wp:wrapPolygon edited="0">
                      <wp:start x="0" y="0"/>
                      <wp:lineTo x="0" y="21484"/>
                      <wp:lineTo x="21474" y="21484"/>
                      <wp:lineTo x="2147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BC3D9A">
              <w:rPr>
                <w:rStyle w:val="Char0"/>
                <w:b/>
                <w:i/>
                <w:lang w:val="hy-AM"/>
              </w:rPr>
              <w:t>Գծապատկեր 11.</w:t>
            </w:r>
            <w:r w:rsidRPr="00B57DAB">
              <w:rPr>
                <w:rFonts w:ascii="GHEA Grapalat" w:hAnsi="GHEA Grapalat" w:cs="Sylfaen"/>
                <w:i/>
                <w:sz w:val="18"/>
                <w:szCs w:val="18"/>
                <w:lang w:val="hy-AM"/>
              </w:rPr>
              <w:t xml:space="preserve"> </w:t>
            </w:r>
            <w:r w:rsidRPr="00B57DAB">
              <w:rPr>
                <w:rFonts w:ascii="GHEA Grapalat" w:hAnsi="GHEA Grapalat" w:cs="Sylfaen"/>
                <w:sz w:val="18"/>
                <w:szCs w:val="18"/>
                <w:lang w:val="hy-AM"/>
              </w:rPr>
              <w:t>ՀՀ իրական և անվանական արդյունավետ փոխարժեքների կուտակային տ/տ աճերի դինամիկան (աճ՝ արժևորում)</w:t>
            </w:r>
          </w:p>
          <w:p w:rsidR="00BC3D9A" w:rsidRPr="00B57DAB" w:rsidRDefault="00BC3D9A" w:rsidP="00BC3D9A">
            <w:pPr>
              <w:spacing w:line="276" w:lineRule="auto"/>
              <w:ind w:right="-268"/>
              <w:jc w:val="both"/>
              <w:rPr>
                <w:rFonts w:ascii="GHEA Grapalat" w:hAnsi="GHEA Grapalat" w:cs="Sylfaen"/>
                <w:sz w:val="16"/>
                <w:szCs w:val="16"/>
                <w:lang w:val="hy-AM"/>
              </w:rPr>
            </w:pPr>
            <w:r w:rsidRPr="00B57DAB">
              <w:rPr>
                <w:rFonts w:ascii="GHEA Grapalat" w:hAnsi="GHEA Grapalat" w:cs="Sylfaen"/>
                <w:i/>
                <w:sz w:val="18"/>
                <w:szCs w:val="18"/>
                <w:lang w:val="hy-AM"/>
              </w:rPr>
              <w:t>Աղբյուրը՝ ՀՀ ԿԲ, ՀՀ ՖՆ հաշվարկներ</w:t>
            </w:r>
          </w:p>
        </w:tc>
      </w:tr>
    </w:tbl>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bookmarkStart w:id="20" w:name="_Toc71311887"/>
    </w:p>
    <w:p w:rsidR="00BC3D9A" w:rsidRPr="00B57DAB" w:rsidRDefault="00BC3D9A" w:rsidP="00BC3D9A">
      <w:pPr>
        <w:pStyle w:val="Heading6"/>
        <w:ind w:left="567"/>
        <w:rPr>
          <w:rFonts w:ascii="GHEA Grapalat" w:hAnsi="GHEA Grapalat"/>
          <w:b/>
          <w:sz w:val="22"/>
          <w:szCs w:val="22"/>
          <w:u w:val="none"/>
        </w:rPr>
      </w:pPr>
      <w:r w:rsidRPr="00B57DAB">
        <w:rPr>
          <w:rFonts w:ascii="GHEA Grapalat" w:hAnsi="GHEA Grapalat"/>
          <w:b/>
          <w:sz w:val="22"/>
          <w:szCs w:val="22"/>
          <w:u w:val="none"/>
        </w:rPr>
        <w:t>Ֆինանսական շուկա</w:t>
      </w:r>
      <w:bookmarkEnd w:id="18"/>
      <w:bookmarkEnd w:id="19"/>
      <w:r w:rsidRPr="00B57DAB">
        <w:rPr>
          <w:rFonts w:ascii="GHEA Grapalat" w:hAnsi="GHEA Grapalat"/>
          <w:b/>
          <w:sz w:val="22"/>
          <w:szCs w:val="22"/>
          <w:u w:val="none"/>
        </w:rPr>
        <w:t>ներ</w:t>
      </w:r>
      <w:r w:rsidRPr="00B57DAB">
        <w:rPr>
          <w:rFonts w:ascii="GHEA Grapalat" w:hAnsi="GHEA Grapalat"/>
          <w:b/>
          <w:sz w:val="22"/>
          <w:szCs w:val="22"/>
          <w:u w:val="none"/>
          <w:vertAlign w:val="superscript"/>
        </w:rPr>
        <w:footnoteReference w:id="22"/>
      </w:r>
      <w:bookmarkEnd w:id="20"/>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 և ավանդներ:</w:t>
      </w:r>
      <w:r w:rsidRPr="00B57DAB">
        <w:rPr>
          <w:rFonts w:ascii="GHEA Grapalat" w:hAnsi="GHEA Grapalat" w:cs="GHEA Grapalat"/>
          <w:sz w:val="22"/>
          <w:szCs w:val="22"/>
          <w:lang w:val="hy-AM"/>
        </w:rPr>
        <w:t xml:space="preserve"> 2022 թվականի առաջին եռամսյակում բանկային համակարգի վարկերի ծավալը շարունակել է նախորդ տարվա նույն ժամանակահատվածի համեմատ նվազման</w:t>
      </w:r>
      <w:r>
        <w:rPr>
          <w:rFonts w:ascii="GHEA Grapalat" w:hAnsi="GHEA Grapalat" w:cs="GHEA Grapalat"/>
          <w:sz w:val="22"/>
          <w:szCs w:val="22"/>
          <w:lang w:val="hy-AM"/>
        </w:rPr>
        <w:t xml:space="preserve"> դինամիկա ցուցաբերել, սակայն աճ</w:t>
      </w:r>
      <w:r w:rsidRPr="00BC3D9A">
        <w:rPr>
          <w:rFonts w:ascii="GHEA Grapalat" w:hAnsi="GHEA Grapalat" w:cs="GHEA Grapalat"/>
          <w:sz w:val="22"/>
          <w:szCs w:val="22"/>
          <w:lang w:val="hy-AM"/>
        </w:rPr>
        <w:t>ել</w:t>
      </w:r>
      <w:r w:rsidRPr="00B57DAB">
        <w:rPr>
          <w:rFonts w:ascii="GHEA Grapalat" w:hAnsi="GHEA Grapalat" w:cs="GHEA Grapalat"/>
          <w:sz w:val="22"/>
          <w:szCs w:val="22"/>
          <w:lang w:val="hy-AM"/>
        </w:rPr>
        <w:t xml:space="preserve"> է 2021</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Pr="00BC3D9A">
        <w:rPr>
          <w:rFonts w:ascii="GHEA Grapalat" w:hAnsi="GHEA Grapalat" w:cs="GHEA Grapalat"/>
          <w:sz w:val="22"/>
          <w:szCs w:val="22"/>
          <w:lang w:val="hy-AM"/>
        </w:rPr>
        <w:t>վական</w:t>
      </w:r>
      <w:r w:rsidRPr="00B57DAB">
        <w:rPr>
          <w:rFonts w:ascii="GHEA Grapalat" w:hAnsi="GHEA Grapalat" w:cs="GHEA Grapalat"/>
          <w:sz w:val="22"/>
          <w:szCs w:val="22"/>
          <w:lang w:val="hy-AM"/>
        </w:rPr>
        <w:t>ի վերջի համեմատությամբ՝ արտացոլելով տնտեսության վերականգնման արագացման պայմաններում վարկերի նկատմամբ պահանջարկի վերականգնումը։ 2022</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Pr="00BC3D9A">
        <w:rPr>
          <w:rFonts w:ascii="GHEA Grapalat" w:hAnsi="GHEA Grapalat" w:cs="GHEA Grapalat"/>
          <w:sz w:val="22"/>
          <w:szCs w:val="22"/>
          <w:lang w:val="hy-AM"/>
        </w:rPr>
        <w:t>վական</w:t>
      </w:r>
      <w:r w:rsidRPr="00B57DAB">
        <w:rPr>
          <w:rFonts w:ascii="GHEA Grapalat" w:hAnsi="GHEA Grapalat" w:cs="GHEA Grapalat"/>
          <w:sz w:val="22"/>
          <w:szCs w:val="22"/>
          <w:lang w:val="hy-AM"/>
        </w:rPr>
        <w:t>ի մարտին առևտրային բանկերի կողմից ռեզիդենտներին տրամադրված վարկերի ծավալների նվազումը կազմել է 0.4%</w:t>
      </w:r>
      <w:r w:rsidRPr="00B57DAB">
        <w:rPr>
          <w:rFonts w:ascii="GHEA Grapalat" w:hAnsi="GHEA Grapalat" w:cs="GHEA Grapalat"/>
          <w:sz w:val="22"/>
          <w:szCs w:val="22"/>
          <w:vertAlign w:val="superscript"/>
          <w:lang w:val="hy-AM"/>
        </w:rPr>
        <w:footnoteReference w:id="23"/>
      </w:r>
      <w:r w:rsidRPr="00B57DAB">
        <w:rPr>
          <w:rFonts w:ascii="GHEA Grapalat" w:hAnsi="GHEA Grapalat" w:cs="GHEA Grapalat"/>
          <w:sz w:val="22"/>
          <w:szCs w:val="22"/>
          <w:lang w:val="hy-AM"/>
        </w:rPr>
        <w:t>՝ 2021 թվականի մարտին արձանագրված 8.2% աճի համեմատ: Վարկերի նվազմանը 5.3 տոկոսային կետով նպաստել է արտարժութային վարկերի նվազումը, իսկ դրամային վարկերն ունեցել են դրական նպաստում՝ 4.9 տոկոսային կետով: Վարկերի նվազումը հիմնականում պայմանավորվել է արդյունաբերության ոլորտի (նպաստումը՝ 2.3 տոկոսային կետ), սպառողական (նպաստումը՝ 2.2 տոկոսային կետ), առևտրի (0.8 տոկոսային կետ) և սպասարկման (0.5 տոկոսային կետ) ոլորտների վարկերի նվազմամբ, իսկ հիփոթեքային, շինարարության և գյուղատնտեսության ոլորտներին տրամադրված վարկերը դրական նպաստում են ունեցել (համապատասխանաբար 4.9, 1.2 և 0.7 տոկոսային կետ):</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C3D9A" w:rsidRDefault="00BC3D9A" w:rsidP="00BC3D9A">
      <w:pPr>
        <w:pStyle w:val="a8"/>
        <w:numPr>
          <w:ilvl w:val="0"/>
          <w:numId w:val="23"/>
        </w:numPr>
        <w:ind w:left="0" w:firstLine="0"/>
        <w:jc w:val="both"/>
        <w:rPr>
          <w:sz w:val="22"/>
          <w:szCs w:val="22"/>
          <w:lang w:val="hy-AM"/>
        </w:rPr>
      </w:pPr>
      <w:r w:rsidRPr="00B57DAB">
        <w:rPr>
          <w:rFonts w:eastAsia="Times New Roman"/>
          <w:noProof w:val="0"/>
          <w:sz w:val="22"/>
          <w:szCs w:val="22"/>
          <w:lang w:val="hy-AM"/>
        </w:rPr>
        <w:lastRenderedPageBreak/>
        <w:t>Ռեզիդենտների վարկերի և ավանդների ծավալների աճը (նախորդ տարվա</w:t>
      </w:r>
      <w:r w:rsidRPr="00BC3D9A">
        <w:rPr>
          <w:sz w:val="22"/>
          <w:szCs w:val="22"/>
          <w:lang w:val="hy-AM"/>
        </w:rPr>
        <w:t xml:space="preserve"> նկատմամբ, %)</w:t>
      </w:r>
      <w:r w:rsidRPr="00B57DAB">
        <w:rPr>
          <w:sz w:val="22"/>
          <w:szCs w:val="22"/>
          <w:vertAlign w:val="superscript"/>
        </w:rPr>
        <w:footnoteReference w:id="24"/>
      </w:r>
    </w:p>
    <w:p w:rsidR="00BC3D9A" w:rsidRPr="00B57DAB" w:rsidRDefault="00BC3D9A" w:rsidP="00BC3D9A">
      <w:pPr>
        <w:spacing w:line="360" w:lineRule="auto"/>
        <w:jc w:val="both"/>
        <w:rPr>
          <w:rFonts w:ascii="GHEA Grapalat" w:eastAsia="Calibri" w:hAnsi="GHEA Grapalat" w:cs="Sylfaen"/>
          <w:sz w:val="22"/>
          <w:szCs w:val="22"/>
        </w:rPr>
      </w:pPr>
      <w:r w:rsidRPr="00B57DAB">
        <w:rPr>
          <w:rFonts w:ascii="GHEA Grapalat" w:hAnsi="GHEA Grapalat"/>
          <w:noProof/>
          <w:sz w:val="28"/>
        </w:rPr>
        <w:drawing>
          <wp:inline distT="0" distB="0" distL="0" distR="0" wp14:anchorId="2A76C00A" wp14:editId="28B2059E">
            <wp:extent cx="3067050" cy="2619375"/>
            <wp:effectExtent l="57150" t="0" r="38100" b="857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57DAB">
        <w:rPr>
          <w:rFonts w:ascii="GHEA Grapalat" w:hAnsi="GHEA Grapalat"/>
          <w:noProof/>
          <w:sz w:val="28"/>
        </w:rPr>
        <w:drawing>
          <wp:inline distT="0" distB="0" distL="0" distR="0" wp14:anchorId="508E4AE6" wp14:editId="7DDC44D9">
            <wp:extent cx="2952750" cy="2609850"/>
            <wp:effectExtent l="57150" t="0" r="38100" b="9525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ավանդների ծավալների աճի տեմպը նախորդ տարվա նույն ժամանակահա</w:t>
      </w:r>
      <w:r w:rsidRPr="00BC3D9A">
        <w:rPr>
          <w:rFonts w:ascii="GHEA Grapalat" w:hAnsi="GHEA Grapalat" w:cs="GHEA Grapalat"/>
          <w:sz w:val="22"/>
          <w:szCs w:val="22"/>
          <w:lang w:val="hy-AM"/>
        </w:rPr>
        <w:t>տ</w:t>
      </w:r>
      <w:r w:rsidRPr="00B57DAB">
        <w:rPr>
          <w:rFonts w:ascii="GHEA Grapalat" w:hAnsi="GHEA Grapalat" w:cs="GHEA Grapalat"/>
          <w:sz w:val="22"/>
          <w:szCs w:val="22"/>
          <w:lang w:val="hy-AM"/>
        </w:rPr>
        <w:t>վ</w:t>
      </w:r>
      <w:r w:rsidRPr="00BC3D9A">
        <w:rPr>
          <w:rFonts w:ascii="GHEA Grapalat" w:hAnsi="GHEA Grapalat" w:cs="GHEA Grapalat"/>
          <w:sz w:val="22"/>
          <w:szCs w:val="22"/>
          <w:lang w:val="hy-AM"/>
        </w:rPr>
        <w:t>ա</w:t>
      </w:r>
      <w:r w:rsidRPr="00B57DAB">
        <w:rPr>
          <w:rFonts w:ascii="GHEA Grapalat" w:hAnsi="GHEA Grapalat" w:cs="GHEA Grapalat"/>
          <w:sz w:val="22"/>
          <w:szCs w:val="22"/>
          <w:lang w:val="hy-AM"/>
        </w:rPr>
        <w:t>ծի նկատմամբ շարունակել է աճել բարձր տեմպերով, թեպետ աճի տեմպը աստիճանաբար դանդաղել է։ Առևտրային բանկերի կողմից ռեզիդենտներից ներգրավված ավանդներն աճել են 13.0%</w:t>
      </w:r>
      <w:r w:rsidRPr="00B57DAB">
        <w:rPr>
          <w:rFonts w:ascii="GHEA Grapalat" w:hAnsi="GHEA Grapalat" w:cs="GHEA Grapalat"/>
          <w:sz w:val="22"/>
          <w:szCs w:val="22"/>
          <w:lang w:val="hy-AM"/>
        </w:rPr>
        <w:noBreakHyphen/>
        <w:t>ով, որին նպաստել են ինչպես տնային տնտեսությունների, այնպես էլ ձեռնարկությունների ավանդների աճը՝ համապատասխանաբար 5.8 և 3.3 տոկոսային կետով։ Արժութային կառուցվածքի տեսակետից 8 տոկոսային կետով դրական նպաստում է ունեցել դրամային ավանդների աճը, իսկ արտարժութային ավանդների նպաստումը կազմել է 5.1 տոկոսային կետ:</w:t>
      </w:r>
    </w:p>
    <w:p w:rsidR="00BC3D9A" w:rsidRPr="00B57DAB" w:rsidRDefault="00BC3D9A" w:rsidP="00BC3D9A">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sidRPr="00BC3D9A">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առաջին եռամսյակում դոլարայնացման մակարդակը նվազել է: Ռեզիդենտների արտարժութային ավանդներ/ընդամենը ավանդներ հարաբերակցությունը նախորդ տարվա համեմատ նվազել է 0.6 տոկոսային կետով՝ կազմելով 43.3%, իսկ ռեզիդենտների վարկավորման ընդհանուր կառուցվածքում արտարժույթով վարկերի կշիռը նվազել է 5.1 տոկոսային կետով՝ կազմելով 44.2%։</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Վարկերի և ավանդների տոկոսադրույքներ:</w:t>
      </w:r>
      <w:r w:rsidRPr="00B57DAB">
        <w:rPr>
          <w:rFonts w:ascii="GHEA Grapalat" w:hAnsi="GHEA Grapalat" w:cs="GHEA Grapalat"/>
          <w:sz w:val="22"/>
          <w:szCs w:val="22"/>
          <w:lang w:val="hy-AM"/>
        </w:rPr>
        <w:t xml:space="preserve"> 2022</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Pr="00BC3D9A">
        <w:rPr>
          <w:rFonts w:ascii="GHEA Grapalat" w:hAnsi="GHEA Grapalat" w:cs="GHEA Grapalat"/>
          <w:sz w:val="22"/>
          <w:szCs w:val="22"/>
          <w:lang w:val="hy-AM"/>
        </w:rPr>
        <w:t>վական</w:t>
      </w:r>
      <w:r w:rsidRPr="00B57DAB">
        <w:rPr>
          <w:rFonts w:ascii="GHEA Grapalat" w:hAnsi="GHEA Grapalat" w:cs="GHEA Grapalat"/>
          <w:sz w:val="22"/>
          <w:szCs w:val="22"/>
          <w:lang w:val="hy-AM"/>
        </w:rPr>
        <w:t>ի առաջին եռամսյակում ՀՀ դրամով վարկերի և ավանդների տոկոսադրույքները աճի միտում են դրսևորել: Տոկոսադրույքների աճին նպաստել են գնաճի և գնաճային սպասումների ավելացումը, ԿԲ-ի կողմից դրամավարկային պայմանների կոշտացումը (վերջին 12 ամիսների ընթացքում վերաֆինանսավորման տոկոսադրույքը բարձրացել է 3.75 տոկոսային կետով), ինչպես նաև տարածաշրջանի և ՀՀ երկրի ռիսկի հավե</w:t>
      </w:r>
      <w:r>
        <w:rPr>
          <w:rFonts w:ascii="GHEA Grapalat" w:hAnsi="GHEA Grapalat" w:cs="GHEA Grapalat"/>
          <w:sz w:val="22"/>
          <w:szCs w:val="22"/>
          <w:lang w:val="hy-AM"/>
        </w:rPr>
        <w:t>լավճարի դեպի վեր ճշգրտումը: 202</w:t>
      </w:r>
      <w:r w:rsidRPr="00BC3D9A">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ՀՀ դրամով վարկավորման (մինչև մեկ տարի ժամկետով) միջին տարեկան տոկոսադրույքը կազմել է 12.3%՝ նախորդ տարվա </w:t>
      </w:r>
      <w:r w:rsidRPr="00B57DAB">
        <w:rPr>
          <w:rFonts w:ascii="GHEA Grapalat" w:hAnsi="GHEA Grapalat" w:cs="GHEA Grapalat"/>
          <w:sz w:val="22"/>
          <w:szCs w:val="22"/>
          <w:lang w:val="hy-AM"/>
        </w:rPr>
        <w:lastRenderedPageBreak/>
        <w:t>նկատմամբ աճելով 0.4 տոկոսային կետով: ՀՀ դրամային ավանդների (մինչև մեկ տարի ժամկետով) միջին տոկոսադրույքը կազմել է 8.7%՝ նախորդ տարվա համեմատ աճելով 0.4 տոկոսային կետով:</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Արտարժույթով վարկերի և ավանդների տոկոսադրույքները հակառակ ուղղություններով են փոփոխվել, ինչը հանգեցրել է սփրեդի նվազմանը: Արտարժույթով ավանդների (մինչև մեկ տարի ժամկետով) միջին տարեկան տոկոսադրույքը 2022 թվականի հունվար-մարտին կազմել է 2.0%՝ նախորդ տարվա նույն ժամանակահատվածի նկատմամբ աճելով 0.6 տոկոսային կետով: Իսկ արտարժույթով վարկավորման (մինչև մեկ տարի ժամկետով) միջին տարեկան տոկոսադրույքը կազմել է 7.8%՝ նվազելով</w:t>
      </w:r>
      <w:r w:rsidRPr="00B57DAB" w:rsidDel="00AB244F">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0.3 տոկոսային կետով: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2022 թվականի առաջին եռամսյակում նախորդ համադրելի ժամանակահատվածի նկատմամբ նվազել է 0.8 տոկոսային կետով` կազմելով 4.7: Դրամով վարկերի և ավանդների միջև տոկոսադրույքների սպրեդը նվազել է 0.3 տոկոսային</w:t>
      </w:r>
      <w:r>
        <w:rPr>
          <w:rFonts w:ascii="GHEA Grapalat" w:hAnsi="GHEA Grapalat" w:cs="GHEA Grapalat"/>
          <w:sz w:val="22"/>
          <w:szCs w:val="22"/>
          <w:lang w:val="hy-AM"/>
        </w:rPr>
        <w:t xml:space="preserve"> կետով՝ մինչև 3.5 տոկոսային կետ</w:t>
      </w:r>
      <w:r w:rsidRPr="00B57DAB">
        <w:rPr>
          <w:rFonts w:ascii="GHEA Grapalat" w:hAnsi="GHEA Grapalat" w:cs="GHEA Grapalat"/>
          <w:sz w:val="22"/>
          <w:szCs w:val="22"/>
          <w:lang w:val="hy-AM"/>
        </w:rPr>
        <w:t>, իսկ արտարժույթով վարկերի և ավանդների սպրեդը՝ 0.9 տոկոսային կետով` կազմելով 5.8 տոկոսային կետ:</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պետական պարտատոմսերի շուկա:</w:t>
      </w:r>
      <w:r w:rsidRPr="00B57DAB">
        <w:rPr>
          <w:rFonts w:ascii="GHEA Grapalat" w:hAnsi="GHEA Grapalat" w:cs="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ավելացմամբ, ՀՀ ԿԲ կողմից վերաֆինանսավորման տոկոսադրույքի, ինչպես նաև մարտ ամսին ռուս-ուկրաինական հակամարտությունից բխող ռազմաքաղաքական և տնտեսական ճգնաժամով պայմանավորված՝ տարածաշրջանի և ՀՀ երկրի ռիսկի հավելավճարի ճշգրտմամբ: Եթե 2021 թվականի առաջին եռամսյակում տեղաբաշխված պետական պարտատոմսերի միջին կշռված եկամտաբերությունը կազմել էր 8.3%, ապա 2022 թվականի նույն ժամանակահատվածում այն կազմել է 10.2% կամ շուրջ 1.9 տոկոսային կետով ավելի:</w:t>
      </w:r>
    </w:p>
    <w:p w:rsidR="00BC3D9A" w:rsidRPr="00B57DAB" w:rsidRDefault="00BC3D9A" w:rsidP="00BC3D9A">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sidRPr="00BC3D9A">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առաջին եռամսյակում տեղաբաշխված պետական պարտատոմսերի ծավալը կազմել է 109.1 մլրդ դրամ՝ 2021 թվականի առաջին եռամսյակի 72.4 մլրդ դրամի դիմաց, իսկ տեղաբաշխման միջին կշ</w:t>
      </w:r>
      <w:r>
        <w:rPr>
          <w:rFonts w:ascii="GHEA Grapalat" w:hAnsi="GHEA Grapalat" w:cs="GHEA Grapalat"/>
          <w:sz w:val="22"/>
          <w:szCs w:val="22"/>
          <w:lang w:val="hy-AM"/>
        </w:rPr>
        <w:t>ռված ժամկետայնությունը` 2102 օր</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 xml:space="preserve"> 2021 թվականի նույն ժամանակահատվածի 1820 օր ցուցանիշի համեմատ:</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w:t>
      </w:r>
      <w:r w:rsidRPr="00BC3D9A">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պետական (շուկայական) պարտատոմսերի նկատմամբ պահանջարկը գերազանցել է տեղաբաշխման ցուցանիշը 1.8 անգամ (2021 թվականի առաջին եռամսյակում՝ 1.5 անգամ), իսկ տեղաբաշխման ենթակա ծավալ/տեղաբաշխված ծավալ միջին հարաբերակցությունը կազմել է 1.06 (2021 թվականի առաջին եռամսյակում` 1.06):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եվրապարտատոմսերի երկրորդային շուկա:</w:t>
      </w:r>
      <w:r w:rsidRPr="00B57DAB">
        <w:rPr>
          <w:rFonts w:ascii="GHEA Grapalat" w:hAnsi="GHEA Grapalat" w:cs="GHEA Grapalat"/>
          <w:sz w:val="22"/>
          <w:szCs w:val="22"/>
          <w:lang w:val="hy-AM"/>
        </w:rPr>
        <w:t xml:space="preserve"> ՀՀ եվրապարտատոմսերի երկրորդային շուկայում եկամտաբերությունները 2022 թվականի առաջին եռամսյակում զգալի աճ են գրանցել՝ պայմանավորված ինչպես միջազգային շուկաներում տոկոսադրույքների բարձրացման միտումներով, </w:t>
      </w:r>
      <w:r w:rsidRPr="00B57DAB">
        <w:rPr>
          <w:rFonts w:ascii="GHEA Grapalat" w:hAnsi="GHEA Grapalat" w:cs="GHEA Grapalat"/>
          <w:sz w:val="22"/>
          <w:szCs w:val="22"/>
          <w:lang w:val="hy-AM"/>
        </w:rPr>
        <w:lastRenderedPageBreak/>
        <w:t>այնպես էլ ռուս-ուկրաինական հակամարտության սպասվող բացասական ազդեցությունների ներքո տարածաշրջանի երկրների, այդ թվում՝ ՀՀ երկրի ռիսկի հավելավճարի ճշգրտմամբ։</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Միջազգային կապիտալի շուկայում 2015 թվականին 7.5% եկամտաբերությամբ թողարկված պետական արտարժութային պարտատոմսերի եկամտաբերությունը 2022 թվականի առաջին եռամսյակում միջինում կազմել է 5.1%՝ 2021 թվականի նույն ժամանակահատվածում արձանագրված 3.5%-ի դիմաց, 2019 թվականին 4.2% եկամտաբերությամբ թողարկված պարտատոմսերի եկամտաբերությունը 2022 թվականի առաջին եռամսյակում միջինում կազմել է 5.5%` 2021 թվականի առաջին եռամսյակում գրանցված 4.%-ի դիմաց, իսկ 2021 թվականի փետրվարին 3.9% եկամտաբերությամբ թողարկված պարտատոմսերի եկամտաբերությունը եռամսյակի վերջի դրությամբ կազմել է 6.8%` նախորդ տարվա նույն ժամանակահատվածի 4.7%-ի համեմատությամբ։</w:t>
      </w:r>
      <w:r>
        <w:rPr>
          <w:rFonts w:ascii="GHEA Grapalat" w:hAnsi="GHEA Grapalat" w:cs="GHEA Grapalat"/>
          <w:sz w:val="22"/>
          <w:szCs w:val="22"/>
          <w:lang w:val="hy-AM"/>
        </w:rPr>
        <w:t xml:space="preserve">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երկրի ռիսկի հավելավճարի աճը ավելի չափավոր է գնահատվում՝ համեմատած պարտատոմսերի եկամտաբերությունների աճի հետ, հաշվի առնելով ԱՄՆ պետական պարտատոմսերի եկամտաբերությունների ավելացման գործոնը։ Մասնավորապես, 2029 թվականին մարվող եվրապարտատոմսերի ռիսկի հավելավճարը 202</w:t>
      </w:r>
      <w:r w:rsidRPr="00BC3D9A">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միջինում կազմել է 3</w:t>
      </w:r>
      <w:r w:rsidRPr="00BC3D9A">
        <w:rPr>
          <w:rFonts w:ascii="GHEA Grapalat" w:hAnsi="GHEA Grapalat" w:cs="GHEA Grapalat"/>
          <w:sz w:val="22"/>
          <w:szCs w:val="22"/>
          <w:lang w:val="hy-AM"/>
        </w:rPr>
        <w:t>.</w:t>
      </w:r>
      <w:r w:rsidRPr="00B57DAB">
        <w:rPr>
          <w:rFonts w:ascii="GHEA Grapalat" w:hAnsi="GHEA Grapalat" w:cs="GHEA Grapalat"/>
          <w:sz w:val="22"/>
          <w:szCs w:val="22"/>
          <w:lang w:val="hy-AM"/>
        </w:rPr>
        <w:t>6 տոկոսային կետ՝ նախորդ տարվա նույն ժամանակահատվածի 2.7 տոկոսային կետ ցուցանիշի դիմաց։</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pStyle w:val="Heading2"/>
        <w:overflowPunct/>
        <w:autoSpaceDE/>
        <w:autoSpaceDN/>
        <w:adjustRightInd/>
        <w:spacing w:before="0" w:after="240"/>
        <w:jc w:val="center"/>
        <w:textAlignment w:val="auto"/>
        <w:rPr>
          <w:rFonts w:ascii="GHEA Grapalat" w:hAnsi="GHEA Grapalat"/>
          <w:i w:val="0"/>
          <w:noProof/>
          <w:sz w:val="22"/>
          <w:szCs w:val="22"/>
          <w:lang w:val="de-AT"/>
        </w:rPr>
      </w:pPr>
      <w:bookmarkStart w:id="21" w:name="_Toc71283308"/>
      <w:bookmarkStart w:id="22" w:name="_Toc71311888"/>
      <w:bookmarkStart w:id="23" w:name="_Toc102759885"/>
      <w:r w:rsidRPr="00B57DAB">
        <w:rPr>
          <w:rFonts w:ascii="GHEA Grapalat" w:hAnsi="GHEA Grapalat"/>
          <w:i w:val="0"/>
          <w:noProof/>
          <w:sz w:val="22"/>
          <w:szCs w:val="22"/>
          <w:lang w:val="de-AT"/>
        </w:rPr>
        <w:t>ՀԱՐԿԱԲՅՈՒՋԵՏԱՅԻՆ ՔԱՂԱՔԱԿԱՆՈՒԹՅԱՆ ՀԻՄՆԱԿԱՆ ԶԱՐԳԱՑՈՒՄՆԵՐԸ</w:t>
      </w:r>
      <w:bookmarkEnd w:id="21"/>
      <w:bookmarkEnd w:id="22"/>
      <w:bookmarkEnd w:id="23"/>
    </w:p>
    <w:p w:rsidR="00BC3D9A"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տնտեսության վերականգնման բարձր տեմպերի</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պայմաններում հարկաբյուջետային քաղաքականության ազդեցությունն ամբողջական պահանաջարկի վրա եղել է զսպող: Ընդ որում, նախորդ տարվա նույն ժամանակահատվածի համեմատ, մի կողմից արձանագրվել է պետական բյուջեի եկամուտների աճ, մյուս կողմից ծախսերի նվազում, ինչի արդյունքում ձևավորվել է պետական բյուջեի հավելուրդ՝ պլանավորված պակասուրդի փոխարեն: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եկամուտները:</w:t>
      </w:r>
      <w:r w:rsidRPr="00B57DAB">
        <w:rPr>
          <w:rFonts w:ascii="GHEA Grapalat" w:hAnsi="GHEA Grapalat" w:cs="GHEA Grapalat"/>
          <w:sz w:val="22"/>
          <w:szCs w:val="22"/>
          <w:lang w:val="hy-AM"/>
        </w:rPr>
        <w:t xml:space="preserve"> 2022 թվականի առաջին եռամսյակում ՀՀ պետական բյուջեի եկամուտներն աճել են բարձր տեմպերով՝ պայմանավորված տնտեսության վերականգնմամբ և հարկային օրենսդրության փոփոխություններով: Ընդ որում, չնայած առաջին եռամսյակում տնտեսական ակտիվության տեմպերի դանդաղմանը, հարկերի հավաքագրման բարձր աճի տեմպերը պահպանվել են ամբողջ եռամսյակի ընթացքում։</w:t>
      </w:r>
      <w:r>
        <w:rPr>
          <w:rFonts w:ascii="GHEA Grapalat" w:hAnsi="GHEA Grapalat" w:cs="GHEA Grapalat"/>
          <w:sz w:val="22"/>
          <w:szCs w:val="22"/>
          <w:lang w:val="hy-AM"/>
        </w:rPr>
        <w:t xml:space="preserve"> </w:t>
      </w:r>
      <w:r w:rsidRPr="00B57DAB">
        <w:rPr>
          <w:rFonts w:ascii="GHEA Grapalat" w:hAnsi="GHEA Grapalat" w:cs="GHEA Grapalat"/>
          <w:sz w:val="22"/>
          <w:szCs w:val="22"/>
          <w:lang w:val="hy-AM"/>
        </w:rPr>
        <w:t>2022 թվականի հունվար-մարտ ամիսների արդյունքներով ՀՀ պետական բյուջեի ընդհանուր եկամուտները կազմել են 425.5</w:t>
      </w:r>
      <w:r w:rsidRPr="00BC3D9A">
        <w:rPr>
          <w:rFonts w:ascii="Courier New" w:hAnsi="Courier New" w:cs="Courier New"/>
          <w:sz w:val="22"/>
          <w:szCs w:val="22"/>
          <w:lang w:val="hy-AM"/>
        </w:rPr>
        <w:t> </w:t>
      </w:r>
      <w:r w:rsidRPr="00B57DAB">
        <w:rPr>
          <w:rFonts w:ascii="GHEA Grapalat" w:hAnsi="GHEA Grapalat" w:cs="GHEA Grapalat"/>
          <w:sz w:val="22"/>
          <w:szCs w:val="22"/>
          <w:lang w:val="hy-AM"/>
        </w:rPr>
        <w:t>մլրդ դրամ՝ նախորդ տարվա նույն ժամանակահատվածի համեմատ աճելով 21.8%-ով, իսկ հարկերը և տուրքերը կազմել են 400.6 մլրդ դրամ՝ նախորդ տարվա նույն ժամանակահատվածի համեմատ աճելով 20.3%-</w:t>
      </w:r>
      <w:r w:rsidRPr="00B57DAB">
        <w:rPr>
          <w:rFonts w:ascii="GHEA Grapalat" w:hAnsi="GHEA Grapalat" w:cs="GHEA Grapalat"/>
          <w:sz w:val="22"/>
          <w:szCs w:val="22"/>
          <w:lang w:val="hy-AM"/>
        </w:rPr>
        <w:lastRenderedPageBreak/>
        <w:t xml:space="preserve">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հաշվին) վերականգնմամբ, ինչպես նաև 2021 թվականի հարկային օրենսդրության բարեփոխումներով, մասնավորապես՝ արտահանման տուրքի ներդրմամբ: </w:t>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C3D9A" w:rsidRDefault="00BC3D9A" w:rsidP="00BC3D9A">
      <w:pPr>
        <w:pStyle w:val="a8"/>
        <w:numPr>
          <w:ilvl w:val="0"/>
          <w:numId w:val="23"/>
        </w:numPr>
        <w:ind w:left="0" w:firstLine="0"/>
        <w:jc w:val="both"/>
        <w:rPr>
          <w:sz w:val="22"/>
          <w:szCs w:val="22"/>
          <w:lang w:val="hy-AM"/>
        </w:rPr>
      </w:pPr>
      <w:r w:rsidRPr="00BC3D9A">
        <w:rPr>
          <w:sz w:val="22"/>
          <w:szCs w:val="22"/>
          <w:lang w:val="hy-AM"/>
        </w:rPr>
        <w:t>Պետական բյուջեի հարկային եկամուտները 2021-2022թթ. ըստ ամիսների</w:t>
      </w:r>
    </w:p>
    <w:p w:rsidR="00BC3D9A" w:rsidRPr="00B57DAB" w:rsidRDefault="00BC3D9A" w:rsidP="00BC3D9A">
      <w:pPr>
        <w:autoSpaceDE w:val="0"/>
        <w:autoSpaceDN w:val="0"/>
        <w:adjustRightInd w:val="0"/>
        <w:spacing w:after="120" w:line="276" w:lineRule="auto"/>
        <w:ind w:hanging="90"/>
        <w:jc w:val="center"/>
        <w:rPr>
          <w:rFonts w:ascii="GHEA Grapalat" w:eastAsia="GHEA Grapalat" w:hAnsi="GHEA Grapalat" w:cs="GHEA Grapalat"/>
          <w:sz w:val="22"/>
          <w:szCs w:val="22"/>
        </w:rPr>
      </w:pPr>
      <w:r w:rsidRPr="00B57DAB">
        <w:rPr>
          <w:rFonts w:ascii="GHEA Grapalat" w:eastAsia="GHEA Grapalat" w:hAnsi="GHEA Grapalat" w:cs="GHEA Grapalat"/>
          <w:noProof/>
        </w:rPr>
        <w:drawing>
          <wp:inline distT="0" distB="0" distL="0" distR="0" wp14:anchorId="064A3D3C" wp14:editId="691BD8C6">
            <wp:extent cx="600075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3D9A" w:rsidRPr="00B57DAB" w:rsidRDefault="00BC3D9A" w:rsidP="00BC3D9A">
      <w:pPr>
        <w:spacing w:line="360" w:lineRule="auto"/>
        <w:ind w:firstLine="567"/>
        <w:jc w:val="both"/>
        <w:rPr>
          <w:rFonts w:ascii="GHEA Grapalat" w:hAnsi="GHEA Grapalat" w:cs="GHEA Grapalat"/>
          <w:sz w:val="22"/>
          <w:szCs w:val="22"/>
          <w:lang w:val="hy-AM"/>
        </w:rPr>
      </w:pP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ծախսերը:</w:t>
      </w:r>
      <w:r w:rsidRPr="00B57DAB">
        <w:rPr>
          <w:rFonts w:ascii="GHEA Grapalat" w:hAnsi="GHEA Grapalat" w:cs="GHEA Grapalat"/>
          <w:sz w:val="22"/>
          <w:szCs w:val="22"/>
          <w:lang w:val="hy-AM"/>
        </w:rPr>
        <w:t xml:space="preserve"> 2022 թվականի առաջին եռամսյակում արձանագրվել է պետական բյուջեի ծախսերի նվազում: Պետական բյուջեի ծախսերը կազմել են 396.8 մլրդ դրամ՝ նախորդ տարվա նույն ժամանակահատվածի համեմատ նվազելով 2%-ով: Նույն ժամանակահատվածում ընթացիկ ծախսերը կազմել են 362.2 մլրդ դրամ` նախորդ տարվա նույն ժամանակահատվածի համեմատ աճելով 1.8%</w:t>
      </w:r>
      <w:r w:rsidRPr="00B57DAB">
        <w:rPr>
          <w:rFonts w:ascii="GHEA Grapalat" w:hAnsi="GHEA Grapalat" w:cs="GHEA Grapalat"/>
          <w:sz w:val="22"/>
          <w:szCs w:val="22"/>
          <w:lang w:val="hy-AM"/>
        </w:rPr>
        <w:noBreakHyphen/>
        <w:t xml:space="preserve">ով: 2022 թվականի երեք ամիսներին ՀՀ պետական բյուջեի ընթացիկ ծախսերի կազմում կորոնավիրուսի (COVID-19) սոցիալ-տնտեսական հետևանքների նվազեցման և վերացման նպատակով իրականացված միջոցառումների գծով հատկացված միջոցների ծավալը կազմել է ընդամենը 3.8 մլրդ դրամ: Միևնույն ժամանակ ՀՀ պետական բյուջեից Արցախի Հանրապետությանը տրամադրված միջպետական վարկի ծավալը կազմել է 38.6 մլրդ դրամ՝ նախորդ տարվա նույն ժամանակահատվածի 30.0 մլրդ դրամի համեմատ: </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Ոչ ֆինանսական ակտիվների հետ գործառնությունները կազմել են 34.6 մլրդ դրամ, որում ոչ ֆինանսական ակտիվների գծով ծախսերը (կապիտալ ծախսեր) կազմել են 37.2 մլրդ դրամ` նախորդ տարվա նույն ժամանակահատվածի նկատմամբ նվազելով 25.1%</w:t>
      </w:r>
      <w:r w:rsidRPr="00B57DAB">
        <w:rPr>
          <w:rFonts w:ascii="GHEA Grapalat" w:hAnsi="GHEA Grapalat" w:cs="GHEA Grapalat"/>
          <w:sz w:val="22"/>
          <w:szCs w:val="22"/>
          <w:lang w:val="hy-AM"/>
        </w:rPr>
        <w:noBreakHyphen/>
        <w:t>ով, որը հիմնականում պայմանավորված է 2021</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Pr="00BC3D9A">
        <w:rPr>
          <w:rFonts w:ascii="GHEA Grapalat" w:hAnsi="GHEA Grapalat" w:cs="GHEA Grapalat"/>
          <w:sz w:val="22"/>
          <w:szCs w:val="22"/>
          <w:lang w:val="hy-AM"/>
        </w:rPr>
        <w:t>վական</w:t>
      </w:r>
      <w:r w:rsidRPr="00B57DAB">
        <w:rPr>
          <w:rFonts w:ascii="GHEA Grapalat" w:hAnsi="GHEA Grapalat" w:cs="GHEA Grapalat"/>
          <w:sz w:val="22"/>
          <w:szCs w:val="22"/>
          <w:lang w:val="hy-AM"/>
        </w:rPr>
        <w:t xml:space="preserve">ի առաջին եռամսյակում ՀՀ պաշտպանության նախարարության շենքային պայմանների բարելավման ծախսերի աճով և 2022 թվականի երեք ամիսներին </w:t>
      </w:r>
      <w:r w:rsidRPr="00B57DAB">
        <w:rPr>
          <w:rFonts w:ascii="GHEA Grapalat" w:hAnsi="GHEA Grapalat" w:cs="GHEA Grapalat"/>
          <w:sz w:val="22"/>
          <w:szCs w:val="22"/>
          <w:lang w:val="hy-AM"/>
        </w:rPr>
        <w:lastRenderedPageBreak/>
        <w:t>արձանագրված թերակատարումներով: 2022 թվականի երեք ամիսներին կապիտալ ծախսերի ճշտված ծրագրի կատարողականը վատթարացել է՝ կազմելով 55.3%՝ նախորդ տարվա նույն ժամանակահատվածի 76.7%-ի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երեք ամիսների ծրագրված միջոցների ընդամենը 26.4%-ը: Կատարողականի համեմատաբար ցածր ցուցանիշները ցույց են տալիս, որ կապիտալ ծրագրերի կառավարման խնդիրը շարունակում է մնալ արդիական։</w:t>
      </w:r>
    </w:p>
    <w:p w:rsidR="00BC3D9A" w:rsidRPr="00B57DAB"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պակասուրդը:</w:t>
      </w:r>
      <w:r w:rsidRPr="00B57DAB">
        <w:rPr>
          <w:rFonts w:ascii="GHEA Grapalat" w:hAnsi="GHEA Grapalat" w:cs="GHEA Grapalat"/>
          <w:sz w:val="22"/>
          <w:szCs w:val="22"/>
          <w:lang w:val="hy-AM"/>
        </w:rPr>
        <w:t xml:space="preserve"> Վերոնշյալ զարգացումների արդյունքում պետական բյուջեն եղել է հավելուրդային: 2022 թվականի առաջին եռամսյակում ձևավորվել է պետական բյուջեի 28.7</w:t>
      </w:r>
      <w:r w:rsidRPr="00BC3D9A">
        <w:rPr>
          <w:rFonts w:ascii="Courier New" w:hAnsi="Courier New" w:cs="Courier New"/>
          <w:sz w:val="22"/>
          <w:szCs w:val="22"/>
          <w:lang w:val="hy-AM"/>
        </w:rPr>
        <w:t> </w:t>
      </w:r>
      <w:r w:rsidRPr="00B57DAB">
        <w:rPr>
          <w:rFonts w:ascii="GHEA Grapalat" w:hAnsi="GHEA Grapalat" w:cs="GHEA Grapalat"/>
          <w:sz w:val="22"/>
          <w:szCs w:val="22"/>
          <w:lang w:val="hy-AM"/>
        </w:rPr>
        <w:t>մլրդ դրամ հավելուրդ՝ նախորդ տարվա նույն ժամանակահատվածի 55.6</w:t>
      </w:r>
      <w:r w:rsidRPr="00BC3D9A">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մլրդ դրամ պակասուրդի դիմաց: </w:t>
      </w:r>
    </w:p>
    <w:p w:rsidR="00BC3D9A" w:rsidRPr="00BC3D9A" w:rsidRDefault="00BC3D9A" w:rsidP="00BC3D9A">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Հարկաբյուջետային ազդակը:</w:t>
      </w:r>
      <w:r w:rsidRPr="00B57DAB">
        <w:rPr>
          <w:rFonts w:ascii="GHEA Grapalat" w:hAnsi="GHEA Grapalat" w:cs="GHEA Grapalat"/>
          <w:sz w:val="22"/>
          <w:szCs w:val="22"/>
          <w:lang w:val="hy-AM"/>
        </w:rPr>
        <w:t xml:space="preserve"> 2022 թվականի երեք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երեք ամիսներին նախորդ տարվա նույն ժամանակահատվածի նկատմամբ ունեցել է զսպող (-4.7) ազդեցություն` պայմանավորված եկամուտների (-2.6) և ծախսերի (-2.1) զսպող ազդեցություններով:</w:t>
      </w:r>
    </w:p>
    <w:p w:rsidR="00BC3D9A" w:rsidRPr="00BC3D9A" w:rsidRDefault="00BC3D9A" w:rsidP="00BC3D9A">
      <w:pPr>
        <w:ind w:firstLine="567"/>
        <w:jc w:val="both"/>
        <w:rPr>
          <w:rFonts w:ascii="GHEA Grapalat" w:hAnsi="GHEA Grapalat" w:cs="GHEA Grapalat"/>
          <w:sz w:val="22"/>
          <w:szCs w:val="22"/>
          <w:lang w:val="hy-AM"/>
        </w:rPr>
      </w:pPr>
    </w:p>
    <w:p w:rsidR="00BC3D9A" w:rsidRPr="00BC3D9A" w:rsidRDefault="00BC3D9A" w:rsidP="00BC3D9A">
      <w:pPr>
        <w:pStyle w:val="a8"/>
        <w:numPr>
          <w:ilvl w:val="0"/>
          <w:numId w:val="23"/>
        </w:numPr>
        <w:ind w:left="0" w:firstLine="0"/>
        <w:jc w:val="both"/>
        <w:rPr>
          <w:sz w:val="22"/>
          <w:szCs w:val="22"/>
          <w:lang w:val="hy-AM"/>
        </w:rPr>
      </w:pPr>
      <w:r w:rsidRPr="00BC3D9A">
        <w:rPr>
          <w:sz w:val="22"/>
          <w:szCs w:val="22"/>
          <w:lang w:val="hy-AM"/>
        </w:rPr>
        <w:t>Հարկաբյուջետային ազդակը 2018 թվականից եռամսյակային կտրվածքով (կուտակային)</w:t>
      </w:r>
      <w:r w:rsidRPr="00B57DAB">
        <w:rPr>
          <w:sz w:val="22"/>
          <w:szCs w:val="22"/>
          <w:vertAlign w:val="superscript"/>
        </w:rPr>
        <w:footnoteReference w:id="25"/>
      </w:r>
    </w:p>
    <w:p w:rsidR="00BC3D9A" w:rsidRPr="00B57DAB" w:rsidRDefault="00BC3D9A" w:rsidP="00BC3D9A">
      <w:pPr>
        <w:tabs>
          <w:tab w:val="left" w:pos="0"/>
          <w:tab w:val="left" w:pos="900"/>
        </w:tabs>
        <w:spacing w:after="120" w:line="276" w:lineRule="auto"/>
        <w:jc w:val="center"/>
        <w:rPr>
          <w:rFonts w:ascii="GHEA Grapalat" w:hAnsi="GHEA Grapalat" w:cs="GHEA Grapalat"/>
          <w:sz w:val="22"/>
          <w:szCs w:val="22"/>
        </w:rPr>
      </w:pPr>
      <w:r w:rsidRPr="00B57DAB">
        <w:rPr>
          <w:rFonts w:ascii="GHEA Grapalat" w:eastAsia="GHEA Grapalat" w:hAnsi="GHEA Grapalat" w:cs="GHEA Grapalat"/>
          <w:b/>
          <w:noProof/>
        </w:rPr>
        <w:drawing>
          <wp:inline distT="0" distB="0" distL="0" distR="0" wp14:anchorId="6C5803B0" wp14:editId="07925606">
            <wp:extent cx="6417426" cy="2685011"/>
            <wp:effectExtent l="0" t="0" r="254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3D9A" w:rsidRPr="00B57DAB" w:rsidRDefault="00BC3D9A" w:rsidP="00123888">
      <w:pPr>
        <w:autoSpaceDE w:val="0"/>
        <w:autoSpaceDN w:val="0"/>
        <w:adjustRightInd w:val="0"/>
        <w:spacing w:line="360" w:lineRule="auto"/>
        <w:jc w:val="both"/>
        <w:rPr>
          <w:rFonts w:ascii="GHEA Grapalat" w:hAnsi="GHEA Grapalat" w:cs="GHEA Grapalat"/>
          <w:sz w:val="22"/>
          <w:szCs w:val="22"/>
        </w:rPr>
        <w:sectPr w:rsidR="00BC3D9A" w:rsidRPr="00B57DAB" w:rsidSect="00BC3D9A">
          <w:pgSz w:w="11907" w:h="16840" w:code="9"/>
          <w:pgMar w:top="1134" w:right="567" w:bottom="567" w:left="1134" w:header="720" w:footer="567" w:gutter="0"/>
          <w:cols w:space="720"/>
        </w:sectPr>
      </w:pPr>
    </w:p>
    <w:p w:rsidR="00BC3D9A" w:rsidRPr="00B57DAB" w:rsidRDefault="00BC3D9A" w:rsidP="00BC3D9A">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24" w:name="_Toc100315622"/>
      <w:bookmarkStart w:id="25" w:name="_Toc102746162"/>
      <w:bookmarkStart w:id="26" w:name="_Toc102759886"/>
      <w:r w:rsidRPr="00B57DAB">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24"/>
      <w:bookmarkEnd w:id="25"/>
      <w:bookmarkEnd w:id="26"/>
    </w:p>
    <w:p w:rsidR="00BC3D9A" w:rsidRPr="00B57DAB" w:rsidRDefault="00BC3D9A" w:rsidP="00BC3D9A">
      <w:pPr>
        <w:jc w:val="center"/>
        <w:rPr>
          <w:rFonts w:ascii="GHEA Grapalat" w:hAnsi="GHEA Grapalat" w:cs="Arial"/>
          <w:b/>
          <w:sz w:val="22"/>
          <w:szCs w:val="20"/>
        </w:rPr>
      </w:pPr>
    </w:p>
    <w:p w:rsidR="00BC3D9A" w:rsidRPr="00B57DAB" w:rsidRDefault="00BC3D9A" w:rsidP="00BC3D9A">
      <w:pPr>
        <w:jc w:val="center"/>
        <w:rPr>
          <w:rFonts w:ascii="GHEA Grapalat" w:hAnsi="GHEA Grapalat"/>
          <w:sz w:val="22"/>
          <w:szCs w:val="20"/>
        </w:rPr>
      </w:pPr>
      <w:proofErr w:type="spellStart"/>
      <w:r w:rsidRPr="00B57DAB">
        <w:rPr>
          <w:rFonts w:ascii="GHEA Grapalat" w:hAnsi="GHEA Grapalat" w:cs="Arial"/>
          <w:b/>
          <w:sz w:val="22"/>
          <w:szCs w:val="20"/>
        </w:rPr>
        <w:t>Աղյուսակ</w:t>
      </w:r>
      <w:proofErr w:type="spellEnd"/>
      <w:r w:rsidRPr="00B57DAB">
        <w:rPr>
          <w:rFonts w:ascii="GHEA Grapalat" w:hAnsi="GHEA Grapalat" w:cs="Arial"/>
          <w:b/>
          <w:sz w:val="22"/>
          <w:szCs w:val="20"/>
        </w:rPr>
        <w:t xml:space="preserve"> 1: </w:t>
      </w:r>
      <w:proofErr w:type="spellStart"/>
      <w:r w:rsidRPr="00B57DAB">
        <w:rPr>
          <w:rFonts w:ascii="GHEA Grapalat" w:hAnsi="GHEA Grapalat" w:cs="Arial"/>
          <w:sz w:val="22"/>
          <w:szCs w:val="20"/>
        </w:rPr>
        <w:t>Տնտեսության</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ճյուղերի</w:t>
      </w:r>
      <w:proofErr w:type="spellEnd"/>
      <w:r w:rsidRPr="00B57DAB">
        <w:rPr>
          <w:rFonts w:ascii="GHEA Grapalat" w:hAnsi="GHEA Grapalat" w:cs="Arial"/>
          <w:sz w:val="22"/>
          <w:szCs w:val="20"/>
        </w:rPr>
        <w:t xml:space="preserve"> և </w:t>
      </w:r>
      <w:proofErr w:type="spellStart"/>
      <w:r w:rsidRPr="00B57DAB">
        <w:rPr>
          <w:rFonts w:ascii="GHEA Grapalat" w:hAnsi="GHEA Grapalat" w:cs="Arial"/>
          <w:sz w:val="22"/>
          <w:szCs w:val="20"/>
        </w:rPr>
        <w:t>ենթաճյուղերի</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թողարկման</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ծավալների</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ցուցանիշները</w:t>
      </w:r>
      <w:proofErr w:type="spellEnd"/>
      <w:r w:rsidRPr="00B57DAB">
        <w:rPr>
          <w:rFonts w:ascii="GHEA Grapalat" w:hAnsi="GHEA Grapalat" w:cs="Arial"/>
          <w:sz w:val="22"/>
          <w:szCs w:val="20"/>
        </w:rPr>
        <w:t>,</w:t>
      </w:r>
      <w:r w:rsidRPr="00B57DAB">
        <w:rPr>
          <w:rFonts w:ascii="GHEA Grapalat" w:hAnsi="GHEA Grapalat"/>
          <w:sz w:val="22"/>
          <w:szCs w:val="20"/>
        </w:rPr>
        <w:t xml:space="preserve"> </w:t>
      </w:r>
    </w:p>
    <w:p w:rsidR="00BC3D9A" w:rsidRDefault="00BC3D9A" w:rsidP="00BC3D9A">
      <w:pPr>
        <w:jc w:val="center"/>
        <w:rPr>
          <w:rFonts w:ascii="GHEA Grapalat" w:hAnsi="GHEA Grapalat"/>
          <w:sz w:val="22"/>
          <w:szCs w:val="20"/>
        </w:rPr>
      </w:pPr>
      <w:r w:rsidRPr="00B57DAB">
        <w:rPr>
          <w:rFonts w:ascii="GHEA Grapalat" w:hAnsi="GHEA Grapalat"/>
          <w:sz w:val="22"/>
          <w:szCs w:val="20"/>
        </w:rPr>
        <w:t>2022</w:t>
      </w:r>
      <w:r w:rsidRPr="00B57DAB">
        <w:rPr>
          <w:rFonts w:ascii="GHEA Grapalat" w:hAnsi="GHEA Grapalat" w:cs="Arial"/>
          <w:sz w:val="22"/>
          <w:szCs w:val="20"/>
        </w:rPr>
        <w:t xml:space="preserve"> </w:t>
      </w:r>
      <w:proofErr w:type="spellStart"/>
      <w:r w:rsidRPr="00B57DAB">
        <w:rPr>
          <w:rFonts w:ascii="GHEA Grapalat" w:hAnsi="GHEA Grapalat" w:cs="Arial"/>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p>
    <w:p w:rsidR="00BC3D9A" w:rsidRPr="00B57DAB" w:rsidRDefault="00BC3D9A" w:rsidP="00BC3D9A">
      <w:pPr>
        <w:jc w:val="center"/>
        <w:rPr>
          <w:rFonts w:ascii="GHEA Grapalat" w:hAnsi="GHEA Grapalat"/>
          <w:sz w:val="22"/>
          <w:szCs w:val="20"/>
        </w:rPr>
      </w:pPr>
    </w:p>
    <w:tbl>
      <w:tblPr>
        <w:tblStyle w:val="GridTable4-Accent11"/>
        <w:tblW w:w="10188" w:type="dxa"/>
        <w:tblInd w:w="-592" w:type="dxa"/>
        <w:tblLook w:val="04A0" w:firstRow="1" w:lastRow="0" w:firstColumn="1" w:lastColumn="0" w:noHBand="0" w:noVBand="1"/>
      </w:tblPr>
      <w:tblGrid>
        <w:gridCol w:w="4315"/>
        <w:gridCol w:w="1440"/>
        <w:gridCol w:w="1343"/>
        <w:gridCol w:w="1225"/>
        <w:gridCol w:w="1865"/>
      </w:tblGrid>
      <w:tr w:rsidR="00BC3D9A" w:rsidRPr="00B57DAB" w:rsidTr="0012388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jc w:val="center"/>
              <w:rPr>
                <w:rFonts w:ascii="GHEA Grapalat" w:hAnsi="GHEA Grapalat"/>
                <w:bCs w:val="0"/>
                <w:i/>
                <w:iCs/>
                <w:color w:val="FF0000"/>
                <w:sz w:val="20"/>
                <w:szCs w:val="20"/>
                <w:lang w:val="hy-AM"/>
              </w:rPr>
            </w:pPr>
          </w:p>
        </w:tc>
        <w:tc>
          <w:tcPr>
            <w:tcW w:w="144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43"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25"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65"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r w:rsidRPr="00B57DAB">
              <w:rPr>
                <w:rStyle w:val="FootnoteReference"/>
                <w:rFonts w:ascii="GHEA Grapalat" w:hAnsi="GHEA Grapalat"/>
                <w:bCs w:val="0"/>
                <w:sz w:val="20"/>
              </w:rPr>
              <w:footnoteReference w:id="26"/>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rPr>
                <w:rFonts w:ascii="GHEA Grapalat" w:hAnsi="GHEA Grapalat"/>
                <w:bCs w:val="0"/>
                <w:sz w:val="20"/>
                <w:szCs w:val="20"/>
              </w:rPr>
            </w:pPr>
            <w:proofErr w:type="spellStart"/>
            <w:r w:rsidRPr="00B57DAB">
              <w:rPr>
                <w:rFonts w:ascii="GHEA Grapalat" w:hAnsi="GHEA Grapalat"/>
                <w:bCs w:val="0"/>
                <w:sz w:val="20"/>
                <w:szCs w:val="20"/>
              </w:rPr>
              <w:t>Ամբողջ</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արդյունաբերություն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այդ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թվում</w:t>
            </w:r>
            <w:proofErr w:type="spellEnd"/>
            <w:r w:rsidRPr="00B57DAB">
              <w:rPr>
                <w:rFonts w:ascii="GHEA Grapalat" w:hAnsi="GHEA Grapalat"/>
                <w:bCs w:val="0"/>
                <w:sz w:val="20"/>
                <w:szCs w:val="20"/>
              </w:rPr>
              <w:t>՝</w:t>
            </w:r>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550.7</w:t>
            </w:r>
          </w:p>
        </w:tc>
        <w:tc>
          <w:tcPr>
            <w:tcW w:w="134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2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103.1</w:t>
            </w:r>
          </w:p>
        </w:tc>
        <w:tc>
          <w:tcPr>
            <w:tcW w:w="186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3.1</w:t>
            </w:r>
          </w:p>
        </w:tc>
      </w:tr>
      <w:tr w:rsidR="00BC3D9A" w:rsidRPr="00B57DAB" w:rsidTr="00123888">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BC3D9A" w:rsidRPr="00B57DAB" w:rsidRDefault="00BC3D9A" w:rsidP="00BC3D9A">
            <w:pPr>
              <w:rPr>
                <w:rFonts w:ascii="GHEA Grapalat" w:hAnsi="GHEA Grapalat"/>
                <w:sz w:val="20"/>
                <w:szCs w:val="20"/>
              </w:rPr>
            </w:pPr>
            <w:r w:rsidRPr="00B57DAB">
              <w:rPr>
                <w:rFonts w:ascii="Calibri" w:hAnsi="Calibri" w:cs="Calibri"/>
                <w:sz w:val="20"/>
                <w:szCs w:val="20"/>
              </w:rPr>
              <w:t> </w:t>
            </w:r>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Calibri" w:hAnsi="Calibri" w:cs="Calibri"/>
                <w:b/>
                <w:sz w:val="20"/>
                <w:szCs w:val="20"/>
              </w:rPr>
              <w:t> </w:t>
            </w:r>
          </w:p>
        </w:tc>
        <w:tc>
          <w:tcPr>
            <w:tcW w:w="122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BC3D9A" w:rsidRPr="00B57DAB" w:rsidRDefault="00BC3D9A" w:rsidP="00BC3D9A">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144.7</w:t>
            </w:r>
          </w:p>
        </w:tc>
        <w:tc>
          <w:tcPr>
            <w:tcW w:w="134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26.3</w:t>
            </w:r>
          </w:p>
        </w:tc>
        <w:tc>
          <w:tcPr>
            <w:tcW w:w="122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87.1</w:t>
            </w:r>
          </w:p>
        </w:tc>
        <w:tc>
          <w:tcPr>
            <w:tcW w:w="186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-3.6</w:t>
            </w:r>
          </w:p>
        </w:tc>
      </w:tr>
      <w:tr w:rsidR="00BC3D9A" w:rsidRPr="00B57DAB" w:rsidTr="00123888">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left="270" w:hanging="180"/>
              <w:rPr>
                <w:rFonts w:ascii="GHEA Grapalat" w:hAnsi="GHEA Grapalat"/>
                <w:b w:val="0"/>
                <w:bCs w:val="0"/>
                <w:sz w:val="20"/>
                <w:szCs w:val="20"/>
              </w:rPr>
            </w:pPr>
            <w:proofErr w:type="spellStart"/>
            <w:r w:rsidRPr="00B57DAB">
              <w:rPr>
                <w:rFonts w:ascii="GHEA Grapalat" w:hAnsi="GHEA Grapalat"/>
                <w:b w:val="0"/>
                <w:bCs w:val="0"/>
                <w:sz w:val="20"/>
                <w:szCs w:val="20"/>
              </w:rPr>
              <w:t>մշակող</w:t>
            </w:r>
            <w:proofErr w:type="spellEnd"/>
            <w:r w:rsidRPr="00B57DAB">
              <w:rPr>
                <w:rFonts w:ascii="GHEA Grapalat" w:hAnsi="GHEA Grapalat"/>
                <w:b w:val="0"/>
                <w:bCs w:val="0"/>
                <w:sz w:val="20"/>
                <w:szCs w:val="20"/>
              </w:rPr>
              <w:t xml:space="preserve"> </w:t>
            </w:r>
            <w:proofErr w:type="spellStart"/>
            <w:r w:rsidRPr="00B57DAB">
              <w:rPr>
                <w:rFonts w:ascii="GHEA Grapalat" w:hAnsi="GHEA Grapalat"/>
                <w:b w:val="0"/>
                <w:bCs w:val="0"/>
                <w:sz w:val="20"/>
                <w:szCs w:val="20"/>
              </w:rPr>
              <w:t>արդյունաբերություն</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303.8</w:t>
            </w:r>
          </w:p>
        </w:tc>
        <w:tc>
          <w:tcPr>
            <w:tcW w:w="134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55.2</w:t>
            </w:r>
          </w:p>
        </w:tc>
        <w:tc>
          <w:tcPr>
            <w:tcW w:w="122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110.9</w:t>
            </w:r>
          </w:p>
        </w:tc>
        <w:tc>
          <w:tcPr>
            <w:tcW w:w="186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6.1</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BC3D9A" w:rsidRPr="00B57DAB" w:rsidRDefault="00BC3D9A" w:rsidP="00BC3D9A">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96.3</w:t>
            </w:r>
          </w:p>
        </w:tc>
        <w:tc>
          <w:tcPr>
            <w:tcW w:w="134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17.5</w:t>
            </w:r>
          </w:p>
        </w:tc>
        <w:tc>
          <w:tcPr>
            <w:tcW w:w="122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103.3</w:t>
            </w:r>
          </w:p>
        </w:tc>
        <w:tc>
          <w:tcPr>
            <w:tcW w:w="1865"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BC3D9A" w:rsidRPr="00B57DAB" w:rsidTr="00123888">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BC3D9A" w:rsidRPr="00B57DAB" w:rsidRDefault="00BC3D9A" w:rsidP="00BC3D9A">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w:t>
            </w:r>
          </w:p>
        </w:tc>
        <w:tc>
          <w:tcPr>
            <w:tcW w:w="134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w:t>
            </w:r>
          </w:p>
        </w:tc>
        <w:tc>
          <w:tcPr>
            <w:tcW w:w="122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106.7</w:t>
            </w:r>
          </w:p>
        </w:tc>
        <w:tc>
          <w:tcPr>
            <w:tcW w:w="1865"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bl>
    <w:p w:rsidR="00BC3D9A" w:rsidRPr="00B57DAB" w:rsidRDefault="00BC3D9A" w:rsidP="00BC3D9A">
      <w:pPr>
        <w:rPr>
          <w:rFonts w:ascii="GHEA Grapalat" w:hAnsi="GHEA Grapalat" w:cs="Arial"/>
          <w:b/>
          <w:sz w:val="20"/>
          <w:szCs w:val="20"/>
        </w:rPr>
      </w:pPr>
    </w:p>
    <w:tbl>
      <w:tblPr>
        <w:tblStyle w:val="GridTable4-Accent11"/>
        <w:tblW w:w="10188" w:type="dxa"/>
        <w:tblInd w:w="-585" w:type="dxa"/>
        <w:tblLayout w:type="fixed"/>
        <w:tblLook w:val="04A0" w:firstRow="1" w:lastRow="0" w:firstColumn="1" w:lastColumn="0" w:noHBand="0" w:noVBand="1"/>
      </w:tblPr>
      <w:tblGrid>
        <w:gridCol w:w="4315"/>
        <w:gridCol w:w="1440"/>
        <w:gridCol w:w="1350"/>
        <w:gridCol w:w="1260"/>
        <w:gridCol w:w="1823"/>
      </w:tblGrid>
      <w:tr w:rsidR="00BC3D9A" w:rsidRPr="00B57DAB" w:rsidTr="0012388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00" w:firstLine="800"/>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5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rPr>
                <w:rFonts w:ascii="GHEA Grapalat" w:hAnsi="GHEA Grapalat"/>
                <w:bCs w:val="0"/>
                <w:sz w:val="20"/>
                <w:szCs w:val="20"/>
                <w:lang w:val="hy-AM"/>
              </w:rPr>
            </w:pPr>
            <w:r w:rsidRPr="00B57DAB">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98.4</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99.2</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-0.8</w:t>
            </w:r>
          </w:p>
        </w:tc>
      </w:tr>
      <w:tr w:rsidR="00BC3D9A" w:rsidRPr="00B57DAB" w:rsidTr="00123888">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jc w:val="right"/>
              <w:rPr>
                <w:rFonts w:ascii="GHEA Grapalat" w:hAnsi="GHEA Grapalat"/>
                <w:sz w:val="20"/>
                <w:szCs w:val="20"/>
              </w:rPr>
            </w:pP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բուսաբուծություն</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8.1</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8.2</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75.6</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-2.2</w:t>
            </w:r>
          </w:p>
        </w:tc>
      </w:tr>
      <w:tr w:rsidR="00BC3D9A" w:rsidRPr="00B57DAB" w:rsidTr="00123888">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անասնաբուծություն</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71.0</w:t>
            </w: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72.2</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96.9</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-2.3</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անտառային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տնտեսություն</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120.4</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r w:rsidR="00BC3D9A" w:rsidRPr="00B57DAB" w:rsidTr="00123888">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ձկնորսություն</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18.8</w:t>
            </w: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19.1</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127.0</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3.5</w:t>
            </w:r>
          </w:p>
        </w:tc>
      </w:tr>
    </w:tbl>
    <w:p w:rsidR="00BC3D9A" w:rsidRPr="00B57DAB" w:rsidRDefault="00BC3D9A" w:rsidP="00BC3D9A">
      <w:pPr>
        <w:rPr>
          <w:rFonts w:ascii="GHEA Grapalat" w:hAnsi="GHEA Grapalat"/>
          <w:b/>
          <w:sz w:val="20"/>
          <w:szCs w:val="20"/>
        </w:rPr>
      </w:pPr>
    </w:p>
    <w:tbl>
      <w:tblPr>
        <w:tblStyle w:val="GridTable4-Accent11"/>
        <w:tblW w:w="10188" w:type="dxa"/>
        <w:tblInd w:w="-592" w:type="dxa"/>
        <w:tblLayout w:type="fixed"/>
        <w:tblLook w:val="04A0" w:firstRow="1" w:lastRow="0" w:firstColumn="1" w:lastColumn="0" w:noHBand="0" w:noVBand="1"/>
      </w:tblPr>
      <w:tblGrid>
        <w:gridCol w:w="4315"/>
        <w:gridCol w:w="1440"/>
        <w:gridCol w:w="1350"/>
        <w:gridCol w:w="1260"/>
        <w:gridCol w:w="1823"/>
      </w:tblGrid>
      <w:tr w:rsidR="00BC3D9A" w:rsidRPr="00B57DAB" w:rsidTr="0012388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jc w:val="center"/>
              <w:rPr>
                <w:rFonts w:ascii="GHEA Grapalat" w:hAnsi="GHEA Grapalat"/>
                <w:i/>
                <w:iCs/>
                <w:sz w:val="20"/>
                <w:szCs w:val="20"/>
              </w:rPr>
            </w:pPr>
            <w:proofErr w:type="spellStart"/>
            <w:r w:rsidRPr="00B57DAB">
              <w:rPr>
                <w:rFonts w:ascii="GHEA Grapalat" w:hAnsi="GHEA Grapalat"/>
                <w:i/>
                <w:iCs/>
                <w:sz w:val="20"/>
                <w:szCs w:val="20"/>
              </w:rPr>
              <w:t>ըստ</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ֆինանսավորման</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աղբյուրների</w:t>
            </w:r>
            <w:proofErr w:type="spellEnd"/>
          </w:p>
        </w:tc>
        <w:tc>
          <w:tcPr>
            <w:tcW w:w="144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5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rPr>
                <w:rFonts w:ascii="GHEA Grapalat" w:hAnsi="GHEA Grapalat"/>
                <w:bCs w:val="0"/>
                <w:sz w:val="20"/>
                <w:szCs w:val="20"/>
              </w:rPr>
            </w:pPr>
            <w:proofErr w:type="spellStart"/>
            <w:r w:rsidRPr="00B57DAB">
              <w:rPr>
                <w:rFonts w:ascii="GHEA Grapalat" w:hAnsi="GHEA Grapalat"/>
                <w:bCs w:val="0"/>
                <w:sz w:val="20"/>
                <w:szCs w:val="20"/>
              </w:rPr>
              <w:t>Շինարարություն</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56.0</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100.0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106.2</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6.2</w:t>
            </w:r>
          </w:p>
        </w:tc>
      </w:tr>
      <w:tr w:rsidR="00BC3D9A" w:rsidRPr="00B57DAB" w:rsidTr="00123888">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B57DAB">
              <w:rPr>
                <w:rFonts w:ascii="Calibri" w:hAnsi="Calibri" w:cs="Calibri"/>
                <w:b/>
                <w:bCs/>
                <w:sz w:val="20"/>
                <w:szCs w:val="20"/>
              </w:rPr>
              <w:t> </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պետական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բյուջեի</w:t>
            </w:r>
            <w:proofErr w:type="spellEnd"/>
            <w:r w:rsidRPr="00B57DAB">
              <w:rPr>
                <w:rFonts w:ascii="GHEA Grapalat" w:hAnsi="GHEA Grapalat"/>
                <w:b w:val="0"/>
                <w:sz w:val="20"/>
                <w:szCs w:val="20"/>
              </w:rPr>
              <w:t xml:space="preserve">, </w:t>
            </w:r>
            <w:proofErr w:type="spellStart"/>
            <w:r w:rsidRPr="00B57DAB">
              <w:rPr>
                <w:rFonts w:ascii="GHEA Grapalat" w:hAnsi="GHEA Grapalat"/>
                <w:b w:val="0"/>
                <w:i/>
                <w:sz w:val="20"/>
                <w:szCs w:val="20"/>
              </w:rPr>
              <w:t>այդ</w:t>
            </w:r>
            <w:proofErr w:type="spellEnd"/>
            <w:r w:rsidRPr="00B57DAB">
              <w:rPr>
                <w:rFonts w:ascii="GHEA Grapalat" w:hAnsi="GHEA Grapalat"/>
                <w:b w:val="0"/>
                <w:i/>
                <w:sz w:val="20"/>
                <w:szCs w:val="20"/>
              </w:rPr>
              <w:t xml:space="preserve"> </w:t>
            </w:r>
            <w:proofErr w:type="spellStart"/>
            <w:r w:rsidRPr="00B57DAB">
              <w:rPr>
                <w:rFonts w:ascii="GHEA Grapalat" w:hAnsi="GHEA Grapalat"/>
                <w:b w:val="0"/>
                <w:i/>
                <w:sz w:val="20"/>
                <w:szCs w:val="20"/>
              </w:rPr>
              <w:t>թվում</w:t>
            </w:r>
            <w:proofErr w:type="spellEnd"/>
            <w:r w:rsidRPr="00B57DAB">
              <w:rPr>
                <w:rFonts w:ascii="GHEA Grapalat" w:hAnsi="GHEA Grapalat"/>
                <w:b w:val="0"/>
                <w:i/>
                <w:sz w:val="20"/>
                <w:szCs w:val="20"/>
              </w:rPr>
              <w:t>՝</w:t>
            </w:r>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12.3</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22.0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84.8</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r>
      <w:tr w:rsidR="00BC3D9A" w:rsidRPr="00B57DAB" w:rsidTr="00123888">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jc w:val="center"/>
              <w:rPr>
                <w:rFonts w:ascii="GHEA Grapalat" w:hAnsi="GHEA Grapalat"/>
                <w:b w:val="0"/>
                <w:i/>
                <w:iCs/>
                <w:sz w:val="20"/>
                <w:szCs w:val="20"/>
              </w:rPr>
            </w:pPr>
            <w:proofErr w:type="spellStart"/>
            <w:r w:rsidRPr="00B57DAB">
              <w:rPr>
                <w:rFonts w:ascii="GHEA Grapalat" w:hAnsi="GHEA Grapalat"/>
                <w:b w:val="0"/>
                <w:i/>
                <w:iCs/>
                <w:sz w:val="20"/>
                <w:szCs w:val="20"/>
              </w:rPr>
              <w:t>միջազգային</w:t>
            </w:r>
            <w:proofErr w:type="spellEnd"/>
            <w:r w:rsidRPr="00B57DAB">
              <w:rPr>
                <w:rFonts w:ascii="GHEA Grapalat" w:hAnsi="GHEA Grapalat"/>
                <w:b w:val="0"/>
                <w:i/>
                <w:iCs/>
                <w:sz w:val="20"/>
                <w:szCs w:val="20"/>
              </w:rPr>
              <w:t xml:space="preserve"> </w:t>
            </w:r>
            <w:proofErr w:type="spellStart"/>
            <w:r w:rsidRPr="00B57DAB">
              <w:rPr>
                <w:rFonts w:ascii="GHEA Grapalat" w:hAnsi="GHEA Grapalat"/>
                <w:b w:val="0"/>
                <w:i/>
                <w:iCs/>
                <w:sz w:val="20"/>
                <w:szCs w:val="20"/>
              </w:rPr>
              <w:t>վարկերի</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7.9</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51.8</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-8.2</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համայնքների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1.1</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105.0</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0.1</w:t>
            </w:r>
          </w:p>
        </w:tc>
      </w:tr>
      <w:tr w:rsidR="00BC3D9A" w:rsidRPr="00B57DAB" w:rsidTr="00123888">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մարդասիրական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օգնության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0.5</w:t>
            </w: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0.8</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148.9</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0.3</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կազմակերպությունների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i/>
                <w:sz w:val="20"/>
                <w:szCs w:val="20"/>
              </w:rPr>
              <w:t>այդ</w:t>
            </w:r>
            <w:proofErr w:type="spellEnd"/>
            <w:r w:rsidRPr="00B57DAB">
              <w:rPr>
                <w:rFonts w:ascii="GHEA Grapalat" w:hAnsi="GHEA Grapalat"/>
                <w:b w:val="0"/>
                <w:i/>
                <w:sz w:val="20"/>
                <w:szCs w:val="20"/>
              </w:rPr>
              <w:t xml:space="preserve"> </w:t>
            </w:r>
            <w:proofErr w:type="spellStart"/>
            <w:r w:rsidRPr="00B57DAB">
              <w:rPr>
                <w:rFonts w:ascii="GHEA Grapalat" w:hAnsi="GHEA Grapalat"/>
                <w:b w:val="0"/>
                <w:i/>
                <w:sz w:val="20"/>
                <w:szCs w:val="20"/>
              </w:rPr>
              <w:t>թվում</w:t>
            </w:r>
            <w:proofErr w:type="spellEnd"/>
            <w:r w:rsidRPr="00B57DAB">
              <w:rPr>
                <w:rFonts w:ascii="GHEA Grapalat" w:hAnsi="GHEA Grapalat"/>
                <w:b w:val="0"/>
                <w:i/>
                <w:sz w:val="20"/>
                <w:szCs w:val="20"/>
              </w:rPr>
              <w:t>՝</w:t>
            </w:r>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28.0</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50.1</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132.7</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12.9</w:t>
            </w:r>
          </w:p>
        </w:tc>
      </w:tr>
      <w:tr w:rsidR="00BC3D9A" w:rsidRPr="00B57DAB" w:rsidTr="00123888">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jc w:val="center"/>
              <w:rPr>
                <w:rFonts w:ascii="GHEA Grapalat" w:hAnsi="GHEA Grapalat"/>
                <w:b w:val="0"/>
                <w:i/>
                <w:iCs/>
                <w:sz w:val="20"/>
                <w:szCs w:val="20"/>
              </w:rPr>
            </w:pPr>
            <w:r>
              <w:rPr>
                <w:rFonts w:ascii="GHEA Grapalat" w:hAnsi="GHEA Grapalat"/>
                <w:b w:val="0"/>
                <w:i/>
                <w:iCs/>
                <w:sz w:val="20"/>
                <w:szCs w:val="20"/>
              </w:rPr>
              <w:t xml:space="preserve"> </w:t>
            </w:r>
            <w:proofErr w:type="spellStart"/>
            <w:r w:rsidRPr="00B57DAB">
              <w:rPr>
                <w:rFonts w:ascii="GHEA Grapalat" w:hAnsi="GHEA Grapalat"/>
                <w:b w:val="0"/>
                <w:i/>
                <w:iCs/>
                <w:sz w:val="20"/>
                <w:szCs w:val="20"/>
              </w:rPr>
              <w:t>օտարերկրյա</w:t>
            </w:r>
            <w:proofErr w:type="spellEnd"/>
            <w:r w:rsidRPr="00B57DAB">
              <w:rPr>
                <w:rFonts w:ascii="GHEA Grapalat" w:hAnsi="GHEA Grapalat"/>
                <w:b w:val="0"/>
                <w:i/>
                <w:iCs/>
                <w:sz w:val="20"/>
                <w:szCs w:val="20"/>
              </w:rPr>
              <w:t xml:space="preserve"> </w:t>
            </w:r>
            <w:proofErr w:type="spellStart"/>
            <w:r w:rsidRPr="00B57DAB">
              <w:rPr>
                <w:rFonts w:ascii="GHEA Grapalat" w:hAnsi="GHEA Grapalat"/>
                <w:b w:val="0"/>
                <w:i/>
                <w:iCs/>
                <w:sz w:val="20"/>
                <w:szCs w:val="20"/>
              </w:rPr>
              <w:t>ներդրողների</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1.5</w:t>
            </w:r>
          </w:p>
        </w:tc>
        <w:tc>
          <w:tcPr>
            <w:tcW w:w="135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25.8</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-5.4</w:t>
            </w:r>
          </w:p>
        </w:tc>
      </w:tr>
      <w:tr w:rsidR="00BC3D9A" w:rsidRPr="00B57DAB" w:rsidTr="0012388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5" w:firstLine="90"/>
              <w:rPr>
                <w:rFonts w:ascii="GHEA Grapalat" w:hAnsi="GHEA Grapalat"/>
                <w:b w:val="0"/>
                <w:sz w:val="20"/>
                <w:szCs w:val="20"/>
              </w:rPr>
            </w:pPr>
            <w:proofErr w:type="spellStart"/>
            <w:r w:rsidRPr="00B57DAB">
              <w:rPr>
                <w:rFonts w:ascii="GHEA Grapalat" w:hAnsi="GHEA Grapalat"/>
                <w:b w:val="0"/>
                <w:sz w:val="20"/>
                <w:szCs w:val="20"/>
              </w:rPr>
              <w:t>բնակչության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14.0</w:t>
            </w:r>
          </w:p>
        </w:tc>
        <w:tc>
          <w:tcPr>
            <w:tcW w:w="135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90.3</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r>
    </w:tbl>
    <w:p w:rsidR="00BC3D9A" w:rsidRPr="00B57DAB" w:rsidRDefault="00BC3D9A" w:rsidP="00BC3D9A">
      <w:pPr>
        <w:rPr>
          <w:rFonts w:ascii="GHEA Grapalat" w:hAnsi="GHEA Grapalat"/>
          <w:b/>
          <w:sz w:val="20"/>
          <w:szCs w:val="20"/>
        </w:rPr>
      </w:pPr>
    </w:p>
    <w:tbl>
      <w:tblPr>
        <w:tblStyle w:val="GridTable4-Accent11"/>
        <w:tblW w:w="10188" w:type="dxa"/>
        <w:tblInd w:w="-592" w:type="dxa"/>
        <w:tblLook w:val="04A0" w:firstRow="1" w:lastRow="0" w:firstColumn="1" w:lastColumn="0" w:noHBand="0" w:noVBand="1"/>
      </w:tblPr>
      <w:tblGrid>
        <w:gridCol w:w="4315"/>
        <w:gridCol w:w="1440"/>
        <w:gridCol w:w="1394"/>
        <w:gridCol w:w="1216"/>
        <w:gridCol w:w="1823"/>
      </w:tblGrid>
      <w:tr w:rsidR="00BC3D9A" w:rsidRPr="00B57DAB" w:rsidTr="00F1634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400" w:firstLine="800"/>
              <w:rPr>
                <w:rFonts w:ascii="GHEA Grapalat" w:hAnsi="GHEA Grapalat"/>
                <w:sz w:val="20"/>
                <w:szCs w:val="20"/>
              </w:rPr>
            </w:pPr>
            <w:r w:rsidRPr="00B57DAB">
              <w:rPr>
                <w:rFonts w:ascii="Calibri" w:hAnsi="Calibri" w:cs="Calibri"/>
                <w:sz w:val="20"/>
                <w:szCs w:val="20"/>
              </w:rPr>
              <w:lastRenderedPageBreak/>
              <w:t> </w:t>
            </w:r>
          </w:p>
        </w:tc>
        <w:tc>
          <w:tcPr>
            <w:tcW w:w="144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94"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16"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rPr>
                <w:rFonts w:ascii="GHEA Grapalat" w:hAnsi="GHEA Grapalat"/>
                <w:bCs w:val="0"/>
                <w:sz w:val="20"/>
                <w:szCs w:val="20"/>
              </w:rPr>
            </w:pPr>
            <w:proofErr w:type="spellStart"/>
            <w:r w:rsidRPr="00B57DAB">
              <w:rPr>
                <w:rFonts w:ascii="GHEA Grapalat" w:hAnsi="GHEA Grapalat"/>
                <w:bCs w:val="0"/>
                <w:sz w:val="20"/>
                <w:szCs w:val="20"/>
              </w:rPr>
              <w:t>Առևտուր</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781.1</w:t>
            </w:r>
          </w:p>
        </w:tc>
        <w:tc>
          <w:tcPr>
            <w:tcW w:w="1394"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16"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107.6</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7.6</w:t>
            </w:r>
          </w:p>
        </w:tc>
      </w:tr>
      <w:tr w:rsidR="00BC3D9A" w:rsidRPr="00B57DAB" w:rsidTr="00F1634B">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մանրածախ</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340.0</w:t>
            </w:r>
          </w:p>
        </w:tc>
        <w:tc>
          <w:tcPr>
            <w:tcW w:w="1394"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43.5</w:t>
            </w:r>
          </w:p>
        </w:tc>
        <w:tc>
          <w:tcPr>
            <w:tcW w:w="1216"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101.2</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BC3D9A" w:rsidRPr="00B57DAB" w:rsidTr="00F1634B">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մեծածախ</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409.3</w:t>
            </w:r>
          </w:p>
        </w:tc>
        <w:tc>
          <w:tcPr>
            <w:tcW w:w="1394"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52.4</w:t>
            </w:r>
          </w:p>
        </w:tc>
        <w:tc>
          <w:tcPr>
            <w:tcW w:w="1216"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109.8</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5.0</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BC3D9A" w:rsidRPr="00B57DAB" w:rsidRDefault="00BC3D9A" w:rsidP="00BC3D9A">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ավտոմեքենաների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31.8</w:t>
            </w:r>
          </w:p>
        </w:tc>
        <w:tc>
          <w:tcPr>
            <w:tcW w:w="1394"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c>
          <w:tcPr>
            <w:tcW w:w="1216"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174.8</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w:t>
            </w:r>
          </w:p>
        </w:tc>
      </w:tr>
    </w:tbl>
    <w:p w:rsidR="00BC3D9A" w:rsidRPr="00B57DAB" w:rsidRDefault="00BC3D9A" w:rsidP="00BC3D9A">
      <w:pPr>
        <w:rPr>
          <w:rFonts w:ascii="GHEA Grapalat" w:hAnsi="GHEA Grapalat"/>
          <w:b/>
          <w:sz w:val="20"/>
          <w:szCs w:val="20"/>
        </w:rPr>
      </w:pPr>
    </w:p>
    <w:tbl>
      <w:tblPr>
        <w:tblStyle w:val="GridTable4-Accent11"/>
        <w:tblW w:w="10188" w:type="dxa"/>
        <w:tblInd w:w="-592" w:type="dxa"/>
        <w:tblLook w:val="04A0" w:firstRow="1" w:lastRow="0" w:firstColumn="1" w:lastColumn="0" w:noHBand="0" w:noVBand="1"/>
      </w:tblPr>
      <w:tblGrid>
        <w:gridCol w:w="4405"/>
        <w:gridCol w:w="1440"/>
        <w:gridCol w:w="1260"/>
        <w:gridCol w:w="1260"/>
        <w:gridCol w:w="1823"/>
      </w:tblGrid>
      <w:tr w:rsidR="00BC3D9A" w:rsidRPr="00B57DAB" w:rsidTr="00F1634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BC3D9A" w:rsidRPr="00B57DAB" w:rsidRDefault="00BC3D9A" w:rsidP="00BC3D9A">
            <w:pPr>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26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BC3D9A" w:rsidRPr="00B57DAB" w:rsidRDefault="00BC3D9A" w:rsidP="00BC3D9A">
            <w:pPr>
              <w:rPr>
                <w:rFonts w:ascii="GHEA Grapalat" w:hAnsi="GHEA Grapalat"/>
                <w:bCs w:val="0"/>
                <w:sz w:val="20"/>
                <w:szCs w:val="20"/>
              </w:rPr>
            </w:pPr>
            <w:proofErr w:type="spellStart"/>
            <w:r w:rsidRPr="00B57DAB">
              <w:rPr>
                <w:rFonts w:ascii="GHEA Grapalat" w:hAnsi="GHEA Grapalat"/>
                <w:bCs w:val="0"/>
                <w:sz w:val="20"/>
                <w:szCs w:val="20"/>
              </w:rPr>
              <w:t>Ծառայություններ</w:t>
            </w:r>
            <w:proofErr w:type="spellEnd"/>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503.2</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122.2</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22.2</w:t>
            </w:r>
          </w:p>
        </w:tc>
      </w:tr>
      <w:tr w:rsidR="00BC3D9A" w:rsidRPr="00B57DAB" w:rsidTr="00F1634B">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BC3D9A" w:rsidRPr="00B57DAB" w:rsidRDefault="00BC3D9A" w:rsidP="00BC3D9A">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43.8</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140.8</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r>
      <w:tr w:rsidR="00BC3D9A" w:rsidRPr="00B57DAB" w:rsidTr="00F1634B">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մշակույթ</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զվարճություններ</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հանգիստ</w:t>
            </w:r>
            <w:proofErr w:type="spellEnd"/>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62.5</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102.9</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կրթություն</w:t>
            </w:r>
            <w:proofErr w:type="spellEnd"/>
            <w:r w:rsidRPr="00B57DAB">
              <w:rPr>
                <w:rFonts w:ascii="GHEA Grapalat" w:hAnsi="GHEA Grapalat"/>
                <w:b w:val="0"/>
                <w:sz w:val="20"/>
                <w:szCs w:val="20"/>
              </w:rPr>
              <w:t xml:space="preserve"> </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15.3</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117</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0.5</w:t>
            </w:r>
          </w:p>
        </w:tc>
      </w:tr>
      <w:tr w:rsidR="00BC3D9A" w:rsidRPr="00B57DAB" w:rsidTr="00F1634B">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30.4</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6.0</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121.9</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անշարժ գույքի հետ կապված գործունեություն</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21.6</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125.6</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r>
      <w:tr w:rsidR="00BC3D9A" w:rsidRPr="00B57DAB" w:rsidTr="00F1634B">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տեղեկատվություն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կապ</w:t>
            </w:r>
            <w:proofErr w:type="spellEnd"/>
            <w:r w:rsidRPr="00B57DAB">
              <w:rPr>
                <w:rFonts w:ascii="GHEA Grapalat" w:hAnsi="GHEA Grapalat"/>
                <w:b w:val="0"/>
                <w:sz w:val="20"/>
                <w:szCs w:val="20"/>
              </w:rPr>
              <w:t xml:space="preserve"> </w:t>
            </w:r>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92.5</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18.4</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124.5</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4.5</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տրանսպորտ</w:t>
            </w:r>
            <w:proofErr w:type="spellEnd"/>
            <w:r w:rsidRPr="00B57DAB">
              <w:rPr>
                <w:rFonts w:ascii="GHEA Grapalat" w:hAnsi="GHEA Grapalat"/>
                <w:b w:val="0"/>
                <w:sz w:val="20"/>
                <w:szCs w:val="20"/>
              </w:rPr>
              <w:t xml:space="preserve"> </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58.3</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11.6</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160.4</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5.3</w:t>
            </w:r>
          </w:p>
        </w:tc>
      </w:tr>
      <w:tr w:rsidR="00BC3D9A" w:rsidRPr="00B57DAB" w:rsidTr="00F1634B">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վարչարարական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օժանդակ</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գործունեություն</w:t>
            </w:r>
            <w:proofErr w:type="spellEnd"/>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17.3</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127.7</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0.9</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21.4</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119.0</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0.8</w:t>
            </w:r>
          </w:p>
        </w:tc>
      </w:tr>
      <w:tr w:rsidR="00BC3D9A" w:rsidRPr="00B57DAB" w:rsidTr="00F1634B">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ֆինանսական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ապահովագրական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գործունեություն</w:t>
            </w:r>
            <w:proofErr w:type="spellEnd"/>
          </w:p>
        </w:tc>
        <w:tc>
          <w:tcPr>
            <w:tcW w:w="144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135.3</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26.9</w:t>
            </w:r>
          </w:p>
        </w:tc>
        <w:tc>
          <w:tcPr>
            <w:tcW w:w="1260" w:type="dxa"/>
            <w:noWrap/>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114.1</w:t>
            </w:r>
          </w:p>
        </w:tc>
        <w:tc>
          <w:tcPr>
            <w:tcW w:w="1823" w:type="dxa"/>
            <w:vAlign w:val="center"/>
          </w:tcPr>
          <w:p w:rsidR="00BC3D9A" w:rsidRPr="00B57DAB" w:rsidRDefault="00BC3D9A" w:rsidP="00BC3D9A">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BC3D9A" w:rsidRPr="00B57DAB" w:rsidRDefault="00BC3D9A" w:rsidP="00BC3D9A">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սպասարկման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այլ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ծառայություններ</w:t>
            </w:r>
            <w:proofErr w:type="spellEnd"/>
          </w:p>
        </w:tc>
        <w:tc>
          <w:tcPr>
            <w:tcW w:w="144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4.8</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c>
          <w:tcPr>
            <w:tcW w:w="1260" w:type="dxa"/>
            <w:noWrap/>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127.4</w:t>
            </w:r>
          </w:p>
        </w:tc>
        <w:tc>
          <w:tcPr>
            <w:tcW w:w="1823" w:type="dxa"/>
            <w:vAlign w:val="center"/>
          </w:tcPr>
          <w:p w:rsidR="00BC3D9A" w:rsidRPr="00B57DAB" w:rsidRDefault="00BC3D9A" w:rsidP="00BC3D9A">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0.3</w:t>
            </w:r>
          </w:p>
        </w:tc>
      </w:tr>
    </w:tbl>
    <w:p w:rsidR="00BC3D9A" w:rsidRPr="00B57DAB" w:rsidRDefault="00BC3D9A" w:rsidP="00BC3D9A">
      <w:pPr>
        <w:jc w:val="center"/>
        <w:rPr>
          <w:rFonts w:ascii="GHEA Grapalat" w:hAnsi="GHEA Grapalat" w:cs="Arial"/>
          <w:sz w:val="18"/>
          <w:szCs w:val="20"/>
        </w:rPr>
      </w:pPr>
    </w:p>
    <w:p w:rsidR="00BC3D9A" w:rsidRDefault="00BC3D9A" w:rsidP="00BC3D9A">
      <w:pPr>
        <w:jc w:val="center"/>
        <w:rPr>
          <w:rFonts w:ascii="GHEA Grapalat" w:hAnsi="GHEA Grapalat"/>
          <w:sz w:val="22"/>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2. </w:t>
      </w:r>
      <w:proofErr w:type="spellStart"/>
      <w:r w:rsidRPr="00B57DAB">
        <w:rPr>
          <w:rFonts w:ascii="GHEA Grapalat" w:hAnsi="GHEA Grapalat"/>
          <w:sz w:val="22"/>
          <w:szCs w:val="20"/>
        </w:rPr>
        <w:t>Արտահանման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ապրանքային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կառուցվածքը</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2022 </w:t>
      </w:r>
      <w:proofErr w:type="spellStart"/>
      <w:r w:rsidRPr="00B57DAB">
        <w:rPr>
          <w:rFonts w:ascii="GHEA Grapalat" w:hAnsi="GHEA Grapalat"/>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հունվար</w:t>
      </w:r>
      <w:r w:rsidRPr="00B57DAB">
        <w:rPr>
          <w:rFonts w:ascii="GHEA Grapalat" w:hAnsi="GHEA Grapalat"/>
          <w:sz w:val="22"/>
          <w:szCs w:val="20"/>
        </w:rPr>
        <w:t>-</w:t>
      </w:r>
      <w:r w:rsidRPr="00B57DAB">
        <w:rPr>
          <w:rFonts w:ascii="GHEA Grapalat" w:hAnsi="GHEA Grapalat" w:cs="Arial"/>
          <w:sz w:val="22"/>
          <w:szCs w:val="20"/>
        </w:rPr>
        <w:t>մարտ</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ամիսների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արտահանման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աճին</w:t>
      </w:r>
      <w:proofErr w:type="spellEnd"/>
    </w:p>
    <w:p w:rsidR="00F1634B" w:rsidRPr="00B57DAB" w:rsidRDefault="00F1634B" w:rsidP="00BC3D9A">
      <w:pPr>
        <w:jc w:val="center"/>
        <w:rPr>
          <w:rFonts w:ascii="GHEA Grapalat" w:hAnsi="GHEA Grapalat" w:cs="Arial"/>
          <w:szCs w:val="20"/>
        </w:rPr>
      </w:pP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BC3D9A" w:rsidRPr="00B57DAB" w:rsidTr="00BC3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r w:rsidRPr="00B57DAB">
              <w:rPr>
                <w:rFonts w:ascii="GHEA Grapalat" w:hAnsi="GHEA Grapalat"/>
                <w:sz w:val="20"/>
                <w:szCs w:val="20"/>
              </w:rPr>
              <w:t>ԱՐՏԱՀԱՆՈՒՄ</w:t>
            </w:r>
          </w:p>
        </w:tc>
        <w:tc>
          <w:tcPr>
            <w:tcW w:w="1134"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bCs w:val="0"/>
                <w:sz w:val="20"/>
                <w:szCs w:val="20"/>
              </w:rPr>
              <w:t>Ծավալ</w:t>
            </w:r>
            <w:proofErr w:type="spellEnd"/>
            <w:r w:rsidRPr="00B57DAB">
              <w:rPr>
                <w:rFonts w:ascii="GHEA Grapalat" w:hAnsi="GHEA Grapalat"/>
                <w:bCs w:val="0"/>
                <w:sz w:val="20"/>
                <w:szCs w:val="20"/>
              </w:rPr>
              <w:t xml:space="preserve"> </w:t>
            </w:r>
            <w:r w:rsidRPr="00B57DAB">
              <w:rPr>
                <w:rFonts w:ascii="GHEA Grapalat" w:hAnsi="GHEA Grapalat" w:cs="Sylfaen"/>
                <w:sz w:val="20"/>
                <w:szCs w:val="20"/>
              </w:rPr>
              <w:t>(</w:t>
            </w:r>
            <w:proofErr w:type="spellStart"/>
            <w:r w:rsidRPr="00B57DAB">
              <w:rPr>
                <w:rFonts w:ascii="GHEA Grapalat" w:hAnsi="GHEA Grapalat" w:cs="Sylfaen"/>
                <w:sz w:val="20"/>
                <w:szCs w:val="20"/>
              </w:rPr>
              <w:t>մլն</w:t>
            </w:r>
            <w:proofErr w:type="spellEnd"/>
            <w:r w:rsidRPr="00B57DAB">
              <w:rPr>
                <w:rFonts w:ascii="GHEA Grapalat" w:hAnsi="GHEA Grapalat" w:cs="Sylfaen"/>
                <w:sz w:val="20"/>
                <w:szCs w:val="20"/>
              </w:rPr>
              <w:t xml:space="preserve"> ԱՄՆ </w:t>
            </w:r>
            <w:proofErr w:type="spellStart"/>
            <w:r w:rsidRPr="00B57DAB">
              <w:rPr>
                <w:rFonts w:ascii="GHEA Grapalat" w:hAnsi="GHEA Grapalat" w:cs="Sylfaen"/>
                <w:sz w:val="20"/>
                <w:szCs w:val="20"/>
              </w:rPr>
              <w:t>դոլար</w:t>
            </w:r>
            <w:proofErr w:type="spellEnd"/>
            <w:r w:rsidRPr="00B57DAB">
              <w:rPr>
                <w:rFonts w:ascii="GHEA Grapalat" w:hAnsi="GHEA Grapalat" w:cs="Sylfaen"/>
                <w:sz w:val="20"/>
                <w:szCs w:val="20"/>
              </w:rPr>
              <w:t>)</w:t>
            </w:r>
          </w:p>
        </w:tc>
        <w:tc>
          <w:tcPr>
            <w:tcW w:w="992"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Կշիռ</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015"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Աճ</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395"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cs="Sylfaen"/>
                <w:sz w:val="20"/>
                <w:szCs w:val="20"/>
              </w:rPr>
              <w:t>Նպաստում</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տոկոսային</w:t>
            </w:r>
            <w:proofErr w:type="spellEnd"/>
            <w:r w:rsidRPr="00B57DAB">
              <w:rPr>
                <w:rFonts w:ascii="GHEA Grapalat" w:hAnsi="GHEA Grapalat" w:cs="Sylfaen"/>
                <w:bCs w:val="0"/>
                <w:sz w:val="20"/>
                <w:szCs w:val="20"/>
              </w:rPr>
              <w:t xml:space="preserve"> </w:t>
            </w:r>
            <w:proofErr w:type="spellStart"/>
            <w:r w:rsidRPr="00B57DAB">
              <w:rPr>
                <w:rFonts w:ascii="GHEA Grapalat" w:hAnsi="GHEA Grapalat" w:cs="Sylfaen"/>
                <w:bCs w:val="0"/>
                <w:sz w:val="20"/>
                <w:szCs w:val="20"/>
              </w:rPr>
              <w:t>կետ</w:t>
            </w:r>
            <w:proofErr w:type="spellEnd"/>
            <w:r w:rsidRPr="00B57DAB">
              <w:rPr>
                <w:rFonts w:ascii="GHEA Grapalat" w:hAnsi="GHEA Grapalat" w:cs="Sylfaen"/>
                <w:bCs w:val="0"/>
                <w:sz w:val="20"/>
                <w:szCs w:val="20"/>
                <w:lang w:val="ru-RU"/>
              </w:rPr>
              <w:t>)</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r w:rsidRPr="00B57DAB">
              <w:rPr>
                <w:rFonts w:ascii="GHEA Grapalat" w:hAnsi="GHEA Grapalat"/>
                <w:color w:val="000000"/>
                <w:sz w:val="20"/>
                <w:szCs w:val="20"/>
              </w:rPr>
              <w:t xml:space="preserve">ԸՆԴԱՄԵՆԸ </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731.8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100.00</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2.3</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7.8</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Բուսական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ծագման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արտադրանք</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31.5</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4.3</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17.5</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568.8</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Պատրաստի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սննդի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135.8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18.6</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20.3</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4.0</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Հանքահումքային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246.3</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33.7</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12.0</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4.6</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71.6</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113.4</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0.6</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2.1</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186.4</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Փայտ</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փայտյա</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r>
              <w:rPr>
                <w:rFonts w:ascii="GHEA Grapalat" w:hAnsi="GHEA Grapalat"/>
                <w:b w:val="0"/>
                <w:color w:val="000000"/>
                <w:sz w:val="20"/>
                <w:szCs w:val="20"/>
              </w:rPr>
              <w:t xml:space="preserve"> </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104.7</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lastRenderedPageBreak/>
              <w:t>Թուղթ</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թղթից</w:t>
            </w:r>
            <w:proofErr w:type="spellEnd"/>
            <w:r>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-3.2</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Մանածագործական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իրեր</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41.8</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5.7</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14.3</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Կոշկեղեն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գլխարկներ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հովանոցներ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15.7</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Իրեր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քարից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գիպսից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ցեմենտից</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68.9</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94.7</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12.9</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52.2</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5.6</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102.2</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14.0</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52.5</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6.1</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Մեքենաներ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սարքավորումներ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մեխանիզմներ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15.9</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2.2</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62.3</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277.3</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Սարքեր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ապարատներ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6.7</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11.4</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Տարբեր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արդյունաբերական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ապրանքներ</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2.9</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1395"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Արվեստի</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ստեղծագործություններ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3683.2</w:t>
            </w:r>
          </w:p>
        </w:tc>
        <w:tc>
          <w:tcPr>
            <w:tcW w:w="1395"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0.5</w:t>
            </w:r>
          </w:p>
        </w:tc>
      </w:tr>
    </w:tbl>
    <w:p w:rsidR="00BC3D9A" w:rsidRPr="00B57DAB" w:rsidRDefault="00BC3D9A" w:rsidP="00BC3D9A">
      <w:pPr>
        <w:jc w:val="center"/>
        <w:rPr>
          <w:rFonts w:ascii="GHEA Grapalat" w:hAnsi="GHEA Grapalat"/>
          <w:b/>
          <w:sz w:val="22"/>
          <w:szCs w:val="20"/>
        </w:rPr>
      </w:pPr>
    </w:p>
    <w:p w:rsidR="00F1634B" w:rsidRDefault="00F1634B" w:rsidP="00BC3D9A">
      <w:pPr>
        <w:jc w:val="center"/>
        <w:rPr>
          <w:rFonts w:ascii="GHEA Grapalat" w:hAnsi="GHEA Grapalat"/>
          <w:b/>
          <w:sz w:val="22"/>
          <w:szCs w:val="20"/>
        </w:rPr>
      </w:pPr>
    </w:p>
    <w:p w:rsidR="00F1634B" w:rsidRDefault="00F1634B" w:rsidP="00BC3D9A">
      <w:pPr>
        <w:jc w:val="center"/>
        <w:rPr>
          <w:rFonts w:ascii="GHEA Grapalat" w:hAnsi="GHEA Grapalat"/>
          <w:b/>
          <w:sz w:val="22"/>
          <w:szCs w:val="20"/>
        </w:rPr>
      </w:pPr>
    </w:p>
    <w:p w:rsidR="00F1634B" w:rsidRDefault="00F1634B" w:rsidP="00BC3D9A">
      <w:pPr>
        <w:jc w:val="center"/>
        <w:rPr>
          <w:rFonts w:ascii="GHEA Grapalat" w:hAnsi="GHEA Grapalat"/>
          <w:b/>
          <w:sz w:val="22"/>
          <w:szCs w:val="20"/>
        </w:rPr>
      </w:pPr>
    </w:p>
    <w:p w:rsidR="00BC3D9A" w:rsidRPr="00B57DAB" w:rsidRDefault="00BC3D9A" w:rsidP="00BC3D9A">
      <w:pPr>
        <w:jc w:val="center"/>
        <w:rPr>
          <w:rFonts w:ascii="GHEA Grapalat" w:hAnsi="GHEA Grapalat"/>
          <w:sz w:val="22"/>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3. </w:t>
      </w:r>
      <w:proofErr w:type="spellStart"/>
      <w:r w:rsidRPr="00B57DAB">
        <w:rPr>
          <w:rFonts w:ascii="GHEA Grapalat" w:hAnsi="GHEA Grapalat"/>
          <w:sz w:val="22"/>
          <w:szCs w:val="20"/>
        </w:rPr>
        <w:t>Ներմուծման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ապրանքային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կառուցվածքը</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2022 </w:t>
      </w:r>
      <w:proofErr w:type="spellStart"/>
      <w:r w:rsidRPr="00B57DAB">
        <w:rPr>
          <w:rFonts w:ascii="GHEA Grapalat" w:hAnsi="GHEA Grapalat"/>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ամիսների</w:t>
      </w:r>
      <w:proofErr w:type="spellEnd"/>
      <w:r w:rsidRPr="00B57DAB">
        <w:rPr>
          <w:rFonts w:ascii="GHEA Grapalat" w:hAnsi="GHEA Grapalat" w:cs="Arial"/>
          <w:sz w:val="22"/>
          <w:szCs w:val="20"/>
        </w:rPr>
        <w:t xml:space="preserve"> </w:t>
      </w:r>
      <w:proofErr w:type="spellStart"/>
      <w:r w:rsidRPr="00B57DAB">
        <w:rPr>
          <w:rFonts w:ascii="GHEA Grapalat" w:hAnsi="GHEA Grapalat"/>
          <w:sz w:val="22"/>
          <w:szCs w:val="20"/>
        </w:rPr>
        <w:t>ներմուծման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աճին</w:t>
      </w:r>
      <w:proofErr w:type="spellEnd"/>
    </w:p>
    <w:p w:rsidR="00BC3D9A" w:rsidRPr="00B57DAB" w:rsidRDefault="00BC3D9A" w:rsidP="00BC3D9A">
      <w:pPr>
        <w:jc w:val="center"/>
        <w:rPr>
          <w:rFonts w:ascii="GHEA Grapalat" w:hAnsi="GHEA Grapalat" w:cs="Arial"/>
          <w:b/>
          <w:szCs w:val="20"/>
        </w:rPr>
      </w:pPr>
    </w:p>
    <w:tbl>
      <w:tblPr>
        <w:tblStyle w:val="GridTable4-Accent11"/>
        <w:tblW w:w="10627" w:type="dxa"/>
        <w:tblInd w:w="-810" w:type="dxa"/>
        <w:tblLayout w:type="fixed"/>
        <w:tblLook w:val="04A0" w:firstRow="1" w:lastRow="0" w:firstColumn="1" w:lastColumn="0" w:noHBand="0" w:noVBand="1"/>
      </w:tblPr>
      <w:tblGrid>
        <w:gridCol w:w="6091"/>
        <w:gridCol w:w="1134"/>
        <w:gridCol w:w="992"/>
        <w:gridCol w:w="992"/>
        <w:gridCol w:w="1418"/>
      </w:tblGrid>
      <w:tr w:rsidR="00BC3D9A" w:rsidRPr="00B57DAB" w:rsidTr="00F16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r w:rsidRPr="00B57DAB">
              <w:rPr>
                <w:rFonts w:ascii="GHEA Grapalat" w:hAnsi="GHEA Grapalat"/>
                <w:sz w:val="20"/>
                <w:szCs w:val="20"/>
              </w:rPr>
              <w:t>ՆԵՐՄՈՒԾՈՒՄ</w:t>
            </w:r>
          </w:p>
        </w:tc>
        <w:tc>
          <w:tcPr>
            <w:tcW w:w="1134"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bCs w:val="0"/>
                <w:sz w:val="20"/>
                <w:szCs w:val="20"/>
              </w:rPr>
              <w:t>Ծավալ</w:t>
            </w:r>
            <w:proofErr w:type="spellEnd"/>
            <w:r w:rsidRPr="00B57DAB">
              <w:rPr>
                <w:rFonts w:ascii="GHEA Grapalat" w:hAnsi="GHEA Grapalat"/>
                <w:bCs w:val="0"/>
                <w:sz w:val="20"/>
                <w:szCs w:val="20"/>
              </w:rPr>
              <w:t xml:space="preserve"> </w:t>
            </w:r>
            <w:r w:rsidRPr="00B57DAB">
              <w:rPr>
                <w:rFonts w:ascii="GHEA Grapalat" w:hAnsi="GHEA Grapalat"/>
                <w:sz w:val="20"/>
                <w:szCs w:val="20"/>
              </w:rPr>
              <w:t>(</w:t>
            </w:r>
            <w:proofErr w:type="spellStart"/>
            <w:r w:rsidRPr="00B57DAB">
              <w:rPr>
                <w:rFonts w:ascii="GHEA Grapalat" w:hAnsi="GHEA Grapalat"/>
                <w:sz w:val="20"/>
                <w:szCs w:val="20"/>
              </w:rPr>
              <w:t>մլն</w:t>
            </w:r>
            <w:proofErr w:type="spellEnd"/>
            <w:r w:rsidRPr="00B57DAB">
              <w:rPr>
                <w:rFonts w:ascii="GHEA Grapalat" w:hAnsi="GHEA Grapalat"/>
                <w:sz w:val="20"/>
                <w:szCs w:val="20"/>
              </w:rPr>
              <w:t xml:space="preserve"> ԱՄՆ </w:t>
            </w:r>
            <w:proofErr w:type="spellStart"/>
            <w:r w:rsidRPr="00B57DAB">
              <w:rPr>
                <w:rFonts w:ascii="GHEA Grapalat" w:hAnsi="GHEA Grapalat"/>
                <w:sz w:val="20"/>
                <w:szCs w:val="20"/>
              </w:rPr>
              <w:t>դոլար</w:t>
            </w:r>
            <w:proofErr w:type="spellEnd"/>
            <w:r w:rsidRPr="00B57DAB">
              <w:rPr>
                <w:rFonts w:ascii="GHEA Grapalat" w:hAnsi="GHEA Grapalat"/>
                <w:sz w:val="20"/>
                <w:szCs w:val="20"/>
              </w:rPr>
              <w:t>)</w:t>
            </w:r>
          </w:p>
        </w:tc>
        <w:tc>
          <w:tcPr>
            <w:tcW w:w="992"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Կշիռ</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992"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Աճ</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418" w:type="dxa"/>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cs="Sylfaen"/>
                <w:sz w:val="20"/>
                <w:szCs w:val="20"/>
              </w:rPr>
              <w:t>Նպաստում</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տոկոսային</w:t>
            </w:r>
            <w:proofErr w:type="spellEnd"/>
            <w:r w:rsidRPr="00B57DAB">
              <w:rPr>
                <w:rFonts w:ascii="GHEA Grapalat" w:hAnsi="GHEA Grapalat" w:cs="Sylfaen"/>
                <w:bCs w:val="0"/>
                <w:sz w:val="20"/>
                <w:szCs w:val="20"/>
              </w:rPr>
              <w:t xml:space="preserve"> </w:t>
            </w:r>
            <w:proofErr w:type="spellStart"/>
            <w:r w:rsidRPr="00B57DAB">
              <w:rPr>
                <w:rFonts w:ascii="GHEA Grapalat" w:hAnsi="GHEA Grapalat" w:cs="Sylfaen"/>
                <w:bCs w:val="0"/>
                <w:sz w:val="20"/>
                <w:szCs w:val="20"/>
              </w:rPr>
              <w:t>կետ</w:t>
            </w:r>
            <w:proofErr w:type="spellEnd"/>
            <w:r w:rsidRPr="00B57DAB">
              <w:rPr>
                <w:rFonts w:ascii="GHEA Grapalat" w:hAnsi="GHEA Grapalat" w:cs="Sylfaen"/>
                <w:bCs w:val="0"/>
                <w:sz w:val="20"/>
                <w:szCs w:val="20"/>
                <w:lang w:val="ru-RU"/>
              </w:rPr>
              <w:t>)</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r w:rsidRPr="00B57DAB">
              <w:rPr>
                <w:rFonts w:ascii="GHEA Grapalat" w:hAnsi="GHEA Grapalat"/>
                <w:color w:val="000000"/>
                <w:sz w:val="20"/>
                <w:szCs w:val="20"/>
              </w:rPr>
              <w:t xml:space="preserve">ԸՆԴԱՄԵՆԸ </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rPr>
              <w:t>1366.2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100.0</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44.2</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111.2</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Բուսական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ծագման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արտադրանք</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82.4</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77.6</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11.6</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20.2</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0.2</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Պատրաստի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սննդի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79.5</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11.6</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0.9</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Հանքահումքային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284.0</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20.8</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35.8</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8.0</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lang w:val="hy-AM"/>
              </w:rPr>
            </w:pPr>
            <w:r w:rsidRPr="00B57DAB">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125.9</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9.2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66.3</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5.3</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53.0</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49.4</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13.2</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0.1</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Փայտ</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փայտյա</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r>
              <w:rPr>
                <w:rFonts w:ascii="GHEA Grapalat" w:hAnsi="GHEA Grapalat"/>
                <w:b w:val="0"/>
                <w:color w:val="000000"/>
                <w:sz w:val="20"/>
                <w:szCs w:val="20"/>
              </w:rPr>
              <w:t xml:space="preserve"> </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56.6</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Թուղթ</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թղթից</w:t>
            </w:r>
            <w:proofErr w:type="spellEnd"/>
            <w:r>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34.1</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Մանածագործական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իրեր</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75.9</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5.6</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34.9</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2.1</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Կոշկեղեն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գլխարկներ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հովանոցներ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31.7</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Իրեր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քարից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գիպսից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ցեմենտից</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22.7</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28.1</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65.1</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4.8</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25.4</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106.2</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7.8</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76.8</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sz w:val="20"/>
                <w:szCs w:val="20"/>
              </w:rPr>
            </w:pPr>
            <w:proofErr w:type="spellStart"/>
            <w:r w:rsidRPr="00B57DAB">
              <w:rPr>
                <w:rFonts w:ascii="GHEA Grapalat" w:hAnsi="GHEA Grapalat"/>
                <w:color w:val="000000"/>
                <w:sz w:val="20"/>
                <w:szCs w:val="20"/>
              </w:rPr>
              <w:t>Մեքենաներ</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սարքավորումներ</w:t>
            </w:r>
            <w:proofErr w:type="spellEnd"/>
            <w:r w:rsidRPr="00B57DAB">
              <w:rPr>
                <w:rFonts w:ascii="GHEA Grapalat" w:hAnsi="GHEA Grapalat"/>
                <w:color w:val="000000"/>
                <w:sz w:val="20"/>
                <w:szCs w:val="20"/>
              </w:rPr>
              <w:t xml:space="preserve"> և </w:t>
            </w:r>
            <w:proofErr w:type="spellStart"/>
            <w:r w:rsidRPr="00B57DAB">
              <w:rPr>
                <w:rFonts w:ascii="GHEA Grapalat" w:hAnsi="GHEA Grapalat"/>
                <w:color w:val="000000"/>
                <w:sz w:val="20"/>
                <w:szCs w:val="20"/>
              </w:rPr>
              <w:t>մեխանիզմներ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204.2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14.9</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29.2</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85.8</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6.3</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187.8</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Սարքեր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ապարատներ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29.6</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31.9</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r>
      <w:tr w:rsidR="00BC3D9A" w:rsidRPr="00B57DAB" w:rsidTr="00F1634B">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Տարբեր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արդյունաբերական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ապրանքներ</w:t>
            </w:r>
            <w:proofErr w:type="spellEnd"/>
          </w:p>
        </w:tc>
        <w:tc>
          <w:tcPr>
            <w:tcW w:w="1134"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33.4</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2.4</w:t>
            </w:r>
          </w:p>
        </w:tc>
        <w:tc>
          <w:tcPr>
            <w:tcW w:w="992"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23.5</w:t>
            </w:r>
          </w:p>
        </w:tc>
        <w:tc>
          <w:tcPr>
            <w:tcW w:w="1418" w:type="dxa"/>
            <w:vAlign w:val="bottom"/>
          </w:tcPr>
          <w:p w:rsidR="00BC3D9A" w:rsidRPr="00B57DAB" w:rsidRDefault="00BC3D9A" w:rsidP="00BC3D9A">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0.7</w:t>
            </w:r>
          </w:p>
        </w:tc>
      </w:tr>
      <w:tr w:rsidR="00BC3D9A" w:rsidRPr="00B57DAB" w:rsidTr="00F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BC3D9A" w:rsidRPr="00B57DAB" w:rsidRDefault="00BC3D9A" w:rsidP="00BC3D9A">
            <w:pPr>
              <w:rPr>
                <w:rFonts w:ascii="GHEA Grapalat" w:hAnsi="GHEA Grapalat"/>
                <w:b w:val="0"/>
                <w:sz w:val="20"/>
                <w:szCs w:val="20"/>
              </w:rPr>
            </w:pPr>
            <w:proofErr w:type="spellStart"/>
            <w:r w:rsidRPr="00B57DAB">
              <w:rPr>
                <w:rFonts w:ascii="GHEA Grapalat" w:hAnsi="GHEA Grapalat"/>
                <w:b w:val="0"/>
                <w:color w:val="000000"/>
                <w:sz w:val="20"/>
                <w:szCs w:val="20"/>
              </w:rPr>
              <w:t>Արվեստի</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ստեղծագործություններ</w:t>
            </w:r>
            <w:proofErr w:type="spellEnd"/>
          </w:p>
        </w:tc>
        <w:tc>
          <w:tcPr>
            <w:tcW w:w="1134"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57.6</w:t>
            </w:r>
          </w:p>
        </w:tc>
        <w:tc>
          <w:tcPr>
            <w:tcW w:w="1418" w:type="dxa"/>
            <w:vAlign w:val="bottom"/>
          </w:tcPr>
          <w:p w:rsidR="00BC3D9A" w:rsidRPr="00B57DAB" w:rsidRDefault="00BC3D9A" w:rsidP="00BC3D9A">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r>
    </w:tbl>
    <w:p w:rsidR="00BC3D9A" w:rsidRPr="00B57DAB" w:rsidRDefault="00BC3D9A" w:rsidP="00BC3D9A">
      <w:pPr>
        <w:rPr>
          <w:rFonts w:ascii="GHEA Grapalat" w:hAnsi="GHEA Grapalat"/>
          <w:b/>
          <w:sz w:val="20"/>
          <w:szCs w:val="20"/>
        </w:rPr>
      </w:pPr>
    </w:p>
    <w:p w:rsidR="00F1634B" w:rsidRDefault="00F1634B" w:rsidP="00BC3D9A">
      <w:pPr>
        <w:jc w:val="center"/>
        <w:rPr>
          <w:rFonts w:ascii="GHEA Grapalat" w:hAnsi="GHEA Grapalat"/>
          <w:b/>
          <w:sz w:val="22"/>
          <w:szCs w:val="20"/>
        </w:rPr>
      </w:pPr>
    </w:p>
    <w:p w:rsidR="00F1634B" w:rsidRDefault="00F1634B" w:rsidP="00BC3D9A">
      <w:pPr>
        <w:jc w:val="center"/>
        <w:rPr>
          <w:rFonts w:ascii="GHEA Grapalat" w:hAnsi="GHEA Grapalat"/>
          <w:b/>
          <w:sz w:val="22"/>
          <w:szCs w:val="20"/>
        </w:rPr>
      </w:pPr>
      <w:bookmarkStart w:id="27" w:name="_GoBack"/>
      <w:bookmarkEnd w:id="27"/>
    </w:p>
    <w:p w:rsidR="00F1634B" w:rsidRDefault="00F1634B" w:rsidP="00BC3D9A">
      <w:pPr>
        <w:jc w:val="center"/>
        <w:rPr>
          <w:rFonts w:ascii="GHEA Grapalat" w:hAnsi="GHEA Grapalat"/>
          <w:b/>
          <w:sz w:val="22"/>
          <w:szCs w:val="20"/>
        </w:rPr>
      </w:pPr>
    </w:p>
    <w:p w:rsidR="00F1634B" w:rsidRDefault="00F1634B" w:rsidP="00BC3D9A">
      <w:pPr>
        <w:jc w:val="center"/>
        <w:rPr>
          <w:rFonts w:ascii="GHEA Grapalat" w:hAnsi="GHEA Grapalat"/>
          <w:b/>
          <w:sz w:val="22"/>
          <w:szCs w:val="20"/>
        </w:rPr>
      </w:pPr>
    </w:p>
    <w:p w:rsidR="00BC3D9A" w:rsidRPr="00B57DAB" w:rsidRDefault="00BC3D9A" w:rsidP="00BC3D9A">
      <w:pPr>
        <w:jc w:val="center"/>
        <w:rPr>
          <w:rFonts w:ascii="GHEA Grapalat" w:hAnsi="GHEA Grapalat"/>
          <w:b/>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4.</w:t>
      </w:r>
      <w:r w:rsidRPr="00B57DAB">
        <w:rPr>
          <w:rFonts w:ascii="GHEA Grapalat" w:hAnsi="GHEA Grapalat"/>
          <w:b/>
          <w:szCs w:val="20"/>
        </w:rPr>
        <w:t xml:space="preserve"> </w:t>
      </w:r>
      <w:proofErr w:type="spellStart"/>
      <w:r w:rsidRPr="00B57DAB">
        <w:rPr>
          <w:rFonts w:ascii="GHEA Grapalat" w:hAnsi="GHEA Grapalat"/>
          <w:sz w:val="22"/>
          <w:szCs w:val="20"/>
        </w:rPr>
        <w:t>Ներմուծումն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ըստ</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ապրանքների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լայն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տնտեսական</w:t>
      </w:r>
      <w:proofErr w:type="spellEnd"/>
      <w:r w:rsidRPr="00B57DAB">
        <w:rPr>
          <w:rFonts w:ascii="GHEA Grapalat" w:hAnsi="GHEA Grapalat"/>
          <w:sz w:val="22"/>
          <w:szCs w:val="20"/>
        </w:rPr>
        <w:t xml:space="preserve">՝ BEC </w:t>
      </w:r>
      <w:proofErr w:type="spellStart"/>
      <w:r w:rsidRPr="00B57DAB">
        <w:rPr>
          <w:rFonts w:ascii="GHEA Grapalat" w:hAnsi="GHEA Grapalat"/>
          <w:sz w:val="22"/>
          <w:szCs w:val="20"/>
        </w:rPr>
        <w:t>դասակարգչի</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ամիսներին</w:t>
      </w:r>
      <w:proofErr w:type="spellEnd"/>
      <w:r w:rsidRPr="00B57DAB">
        <w:rPr>
          <w:rFonts w:ascii="GHEA Grapalat" w:hAnsi="GHEA Grapalat"/>
          <w:sz w:val="22"/>
          <w:szCs w:val="20"/>
        </w:rPr>
        <w:t xml:space="preserve"> </w:t>
      </w:r>
    </w:p>
    <w:p w:rsidR="00BC3D9A" w:rsidRPr="00B57DAB" w:rsidRDefault="00BC3D9A" w:rsidP="00BC3D9A">
      <w:pPr>
        <w:jc w:val="center"/>
        <w:rPr>
          <w:rFonts w:ascii="GHEA Grapalat" w:hAnsi="GHEA Grapalat"/>
          <w:b/>
          <w:szCs w:val="20"/>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BC3D9A" w:rsidRPr="00B57DAB" w:rsidTr="00BC3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spacing w:line="360" w:lineRule="auto"/>
              <w:jc w:val="both"/>
              <w:rPr>
                <w:rFonts w:ascii="GHEA Grapalat" w:hAnsi="GHEA Grapalat"/>
                <w:sz w:val="20"/>
                <w:szCs w:val="20"/>
                <w:lang w:val="hy-AM"/>
              </w:rPr>
            </w:pPr>
          </w:p>
        </w:tc>
        <w:tc>
          <w:tcPr>
            <w:tcW w:w="1843" w:type="dxa"/>
            <w:gridSpan w:val="2"/>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sz w:val="20"/>
                <w:szCs w:val="20"/>
              </w:rPr>
              <w:t>Կշիռ</w:t>
            </w:r>
            <w:proofErr w:type="spellEnd"/>
            <w:r w:rsidRPr="00B57DAB">
              <w:rPr>
                <w:rFonts w:ascii="GHEA Grapalat" w:hAnsi="GHEA Grapalat"/>
                <w:sz w:val="20"/>
                <w:szCs w:val="20"/>
              </w:rPr>
              <w:t xml:space="preserve"> </w:t>
            </w:r>
            <w:r w:rsidRPr="00B57DAB">
              <w:rPr>
                <w:rFonts w:ascii="GHEA Grapalat" w:hAnsi="GHEA Grapalat"/>
                <w:sz w:val="20"/>
                <w:szCs w:val="20"/>
                <w:lang w:val="ru-RU"/>
              </w:rPr>
              <w:t>(</w:t>
            </w:r>
            <w:proofErr w:type="spellStart"/>
            <w:r w:rsidRPr="00B57DAB">
              <w:rPr>
                <w:rFonts w:ascii="GHEA Grapalat" w:hAnsi="GHEA Grapalat"/>
                <w:sz w:val="20"/>
                <w:szCs w:val="20"/>
              </w:rPr>
              <w:t>տոկոս</w:t>
            </w:r>
            <w:proofErr w:type="spellEnd"/>
            <w:r w:rsidRPr="00B57DAB">
              <w:rPr>
                <w:rFonts w:ascii="GHEA Grapalat" w:hAnsi="GHEA Grapalat"/>
                <w:sz w:val="20"/>
                <w:szCs w:val="20"/>
                <w:lang w:val="ru-RU"/>
              </w:rPr>
              <w:t>)</w:t>
            </w:r>
          </w:p>
        </w:tc>
        <w:tc>
          <w:tcPr>
            <w:tcW w:w="1843" w:type="dxa"/>
            <w:gridSpan w:val="2"/>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sz w:val="20"/>
                <w:szCs w:val="20"/>
              </w:rPr>
              <w:t>Աճ</w:t>
            </w:r>
            <w:proofErr w:type="spellEnd"/>
            <w:r w:rsidRPr="00B57DAB">
              <w:rPr>
                <w:rFonts w:ascii="GHEA Grapalat" w:hAnsi="GHEA Grapalat"/>
                <w:sz w:val="20"/>
                <w:szCs w:val="20"/>
                <w:lang w:val="ru-RU"/>
              </w:rPr>
              <w:t xml:space="preserve"> (</w:t>
            </w:r>
            <w:proofErr w:type="spellStart"/>
            <w:r w:rsidRPr="00B57DAB">
              <w:rPr>
                <w:rFonts w:ascii="GHEA Grapalat" w:hAnsi="GHEA Grapalat"/>
                <w:sz w:val="20"/>
                <w:szCs w:val="20"/>
              </w:rPr>
              <w:t>տոկոս</w:t>
            </w:r>
            <w:proofErr w:type="spellEnd"/>
            <w:r w:rsidRPr="00B57DAB">
              <w:rPr>
                <w:rFonts w:ascii="GHEA Grapalat" w:hAnsi="GHEA Grapalat"/>
                <w:sz w:val="20"/>
                <w:szCs w:val="20"/>
                <w:lang w:val="ru-RU"/>
              </w:rPr>
              <w:t>)</w:t>
            </w:r>
          </w:p>
        </w:tc>
        <w:tc>
          <w:tcPr>
            <w:tcW w:w="1984" w:type="dxa"/>
            <w:gridSpan w:val="2"/>
          </w:tcPr>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sz w:val="20"/>
                <w:szCs w:val="20"/>
              </w:rPr>
              <w:t>Նպաստում</w:t>
            </w:r>
            <w:proofErr w:type="spellEnd"/>
          </w:p>
          <w:p w:rsidR="00BC3D9A" w:rsidRPr="00B57DAB" w:rsidRDefault="00BC3D9A" w:rsidP="00BC3D9A">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sz w:val="20"/>
                <w:szCs w:val="20"/>
                <w:lang w:val="ru-RU"/>
              </w:rPr>
              <w:t>(</w:t>
            </w:r>
            <w:proofErr w:type="spellStart"/>
            <w:r w:rsidRPr="00B57DAB">
              <w:rPr>
                <w:rFonts w:ascii="GHEA Grapalat" w:hAnsi="GHEA Grapalat"/>
                <w:sz w:val="20"/>
                <w:szCs w:val="20"/>
              </w:rPr>
              <w:t>տոկոսային</w:t>
            </w:r>
            <w:proofErr w:type="spellEnd"/>
            <w:r w:rsidRPr="00B57DAB">
              <w:rPr>
                <w:rFonts w:ascii="GHEA Grapalat" w:hAnsi="GHEA Grapalat"/>
                <w:sz w:val="20"/>
                <w:szCs w:val="20"/>
              </w:rPr>
              <w:t xml:space="preserve"> </w:t>
            </w:r>
            <w:proofErr w:type="spellStart"/>
            <w:r w:rsidRPr="00B57DAB">
              <w:rPr>
                <w:rFonts w:ascii="GHEA Grapalat" w:hAnsi="GHEA Grapalat"/>
                <w:sz w:val="20"/>
                <w:szCs w:val="20"/>
              </w:rPr>
              <w:t>կետ</w:t>
            </w:r>
            <w:proofErr w:type="spellEnd"/>
            <w:r w:rsidRPr="00B57DAB">
              <w:rPr>
                <w:rFonts w:ascii="GHEA Grapalat" w:hAnsi="GHEA Grapalat"/>
                <w:sz w:val="20"/>
                <w:szCs w:val="20"/>
                <w:lang w:val="ru-RU"/>
              </w:rPr>
              <w:t>)</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spacing w:line="360" w:lineRule="auto"/>
              <w:jc w:val="both"/>
              <w:rPr>
                <w:rFonts w:ascii="GHEA Grapalat" w:hAnsi="GHEA Grapalat"/>
                <w:sz w:val="20"/>
                <w:szCs w:val="20"/>
              </w:rPr>
            </w:pPr>
          </w:p>
        </w:tc>
        <w:tc>
          <w:tcPr>
            <w:tcW w:w="993"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0"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1"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992" w:type="dxa"/>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jc w:val="both"/>
              <w:rPr>
                <w:rFonts w:ascii="GHEA Grapalat" w:hAnsi="GHEA Grapalat"/>
                <w:sz w:val="20"/>
                <w:szCs w:val="20"/>
              </w:rPr>
            </w:pPr>
            <w:proofErr w:type="spellStart"/>
            <w:r w:rsidRPr="00B57DAB">
              <w:rPr>
                <w:rFonts w:ascii="GHEA Grapalat" w:hAnsi="GHEA Grapalat"/>
                <w:sz w:val="20"/>
                <w:szCs w:val="20"/>
              </w:rPr>
              <w:t>Ընդամենը</w:t>
            </w:r>
            <w:proofErr w:type="spellEnd"/>
          </w:p>
        </w:tc>
        <w:tc>
          <w:tcPr>
            <w:tcW w:w="993" w:type="dxa"/>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850" w:type="dxa"/>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851"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jc w:val="both"/>
              <w:rPr>
                <w:rFonts w:ascii="GHEA Grapalat" w:hAnsi="GHEA Grapalat"/>
                <w:b w:val="0"/>
                <w:sz w:val="20"/>
                <w:szCs w:val="20"/>
              </w:rPr>
            </w:pPr>
            <w:proofErr w:type="spellStart"/>
            <w:r w:rsidRPr="00B57DAB">
              <w:rPr>
                <w:rFonts w:ascii="GHEA Grapalat" w:hAnsi="GHEA Grapalat"/>
                <w:b w:val="0"/>
                <w:sz w:val="20"/>
                <w:szCs w:val="20"/>
              </w:rPr>
              <w:t>Վերջնական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սպառման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26.8</w:t>
            </w:r>
          </w:p>
        </w:tc>
        <w:tc>
          <w:tcPr>
            <w:tcW w:w="850"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25.6</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-13.9</w:t>
            </w:r>
          </w:p>
        </w:tc>
        <w:tc>
          <w:tcPr>
            <w:tcW w:w="851"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39.3</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10.5</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jc w:val="both"/>
              <w:rPr>
                <w:rFonts w:ascii="GHEA Grapalat" w:hAnsi="GHEA Grapalat"/>
                <w:b w:val="0"/>
                <w:sz w:val="20"/>
                <w:szCs w:val="20"/>
              </w:rPr>
            </w:pPr>
            <w:proofErr w:type="spellStart"/>
            <w:r w:rsidRPr="00B57DAB">
              <w:rPr>
                <w:rFonts w:ascii="GHEA Grapalat" w:hAnsi="GHEA Grapalat"/>
                <w:b w:val="0"/>
                <w:sz w:val="20"/>
                <w:szCs w:val="20"/>
              </w:rPr>
              <w:t>Միջանկյալ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սպառման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56.8</w:t>
            </w:r>
          </w:p>
        </w:tc>
        <w:tc>
          <w:tcPr>
            <w:tcW w:w="850"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56.5</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-6.4</w:t>
            </w:r>
          </w:p>
        </w:tc>
        <w:tc>
          <w:tcPr>
            <w:tcW w:w="851"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44.8</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-3.5</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25.5</w:t>
            </w:r>
          </w:p>
        </w:tc>
      </w:tr>
      <w:tr w:rsidR="00BC3D9A" w:rsidRPr="00B57DAB" w:rsidTr="00BC3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jc w:val="both"/>
              <w:rPr>
                <w:rFonts w:ascii="GHEA Grapalat" w:hAnsi="GHEA Grapalat"/>
                <w:b w:val="0"/>
                <w:sz w:val="20"/>
                <w:szCs w:val="20"/>
              </w:rPr>
            </w:pPr>
            <w:proofErr w:type="spellStart"/>
            <w:r w:rsidRPr="00B57DAB">
              <w:rPr>
                <w:rFonts w:ascii="GHEA Grapalat" w:hAnsi="GHEA Grapalat"/>
                <w:b w:val="0"/>
                <w:sz w:val="20"/>
                <w:szCs w:val="20"/>
              </w:rPr>
              <w:t>Կապիտալ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15.5</w:t>
            </w:r>
          </w:p>
        </w:tc>
        <w:tc>
          <w:tcPr>
            <w:tcW w:w="850"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14.0</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-19.0</w:t>
            </w:r>
          </w:p>
        </w:tc>
        <w:tc>
          <w:tcPr>
            <w:tcW w:w="851"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32.1</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BC3D9A" w:rsidRPr="00B57DAB" w:rsidRDefault="00BC3D9A" w:rsidP="00BC3D9A">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5.0</w:t>
            </w:r>
          </w:p>
        </w:tc>
      </w:tr>
      <w:tr w:rsidR="00BC3D9A" w:rsidRPr="00B57DAB" w:rsidTr="00BC3D9A">
        <w:tc>
          <w:tcPr>
            <w:cnfStyle w:val="001000000000" w:firstRow="0" w:lastRow="0" w:firstColumn="1" w:lastColumn="0" w:oddVBand="0" w:evenVBand="0" w:oddHBand="0" w:evenHBand="0" w:firstRowFirstColumn="0" w:firstRowLastColumn="0" w:lastRowFirstColumn="0" w:lastRowLastColumn="0"/>
            <w:tcW w:w="3964" w:type="dxa"/>
          </w:tcPr>
          <w:p w:rsidR="00BC3D9A" w:rsidRPr="00B57DAB" w:rsidRDefault="00BC3D9A" w:rsidP="00BC3D9A">
            <w:pPr>
              <w:jc w:val="both"/>
              <w:rPr>
                <w:rFonts w:ascii="GHEA Grapalat" w:hAnsi="GHEA Grapalat"/>
                <w:b w:val="0"/>
                <w:sz w:val="20"/>
                <w:szCs w:val="20"/>
              </w:rPr>
            </w:pPr>
            <w:proofErr w:type="spellStart"/>
            <w:r w:rsidRPr="00B57DAB">
              <w:rPr>
                <w:rFonts w:ascii="GHEA Grapalat" w:hAnsi="GHEA Grapalat"/>
                <w:b w:val="0"/>
                <w:sz w:val="20"/>
                <w:szCs w:val="20"/>
              </w:rPr>
              <w:t>Ավտոմեքենա</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մարդատար</w:t>
            </w:r>
            <w:proofErr w:type="spellEnd"/>
          </w:p>
        </w:tc>
        <w:tc>
          <w:tcPr>
            <w:tcW w:w="993"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0.9</w:t>
            </w:r>
          </w:p>
        </w:tc>
        <w:tc>
          <w:tcPr>
            <w:tcW w:w="850"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-33.2</w:t>
            </w:r>
          </w:p>
        </w:tc>
        <w:tc>
          <w:tcPr>
            <w:tcW w:w="851"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514.1</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BC3D9A" w:rsidRPr="00B57DAB" w:rsidRDefault="00BC3D9A" w:rsidP="00BC3D9A">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4.7</w:t>
            </w:r>
          </w:p>
        </w:tc>
      </w:tr>
    </w:tbl>
    <w:p w:rsidR="008B78C4" w:rsidRDefault="008B78C4"/>
    <w:sectPr w:rsidR="008B78C4" w:rsidSect="003E7BF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B78" w:rsidRDefault="00754B78" w:rsidP="00BC3D9A">
      <w:r>
        <w:separator/>
      </w:r>
    </w:p>
  </w:endnote>
  <w:endnote w:type="continuationSeparator" w:id="0">
    <w:p w:rsidR="00754B78" w:rsidRDefault="00754B78" w:rsidP="00BC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B78" w:rsidRDefault="00754B78" w:rsidP="00BC3D9A">
      <w:r>
        <w:separator/>
      </w:r>
    </w:p>
  </w:footnote>
  <w:footnote w:type="continuationSeparator" w:id="0">
    <w:p w:rsidR="00754B78" w:rsidRDefault="00754B78" w:rsidP="00BC3D9A">
      <w:r>
        <w:continuationSeparator/>
      </w:r>
    </w:p>
  </w:footnote>
  <w:footnote w:id="1">
    <w:p w:rsidR="00BC3D9A" w:rsidRPr="00E22A16" w:rsidRDefault="00BC3D9A" w:rsidP="00BC3D9A">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Եվրոստատի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հոկտեմբերի</w:t>
      </w:r>
      <w:proofErr w:type="spellEnd"/>
      <w:r w:rsidRPr="00E22A16">
        <w:rPr>
          <w:rFonts w:ascii="GHEA Grapalat" w:hAnsi="GHEA Grapalat"/>
          <w:sz w:val="18"/>
          <w:szCs w:val="18"/>
        </w:rPr>
        <w:t xml:space="preserve"> 29-ի </w:t>
      </w:r>
      <w:proofErr w:type="spellStart"/>
      <w:r w:rsidRPr="00E22A16">
        <w:rPr>
          <w:rFonts w:ascii="GHEA Grapalat" w:hAnsi="GHEA Grapalat"/>
          <w:sz w:val="18"/>
          <w:szCs w:val="18"/>
        </w:rPr>
        <w:t>նախնական</w:t>
      </w:r>
      <w:proofErr w:type="spellEnd"/>
      <w:r w:rsidRPr="00E22A16">
        <w:rPr>
          <w:rFonts w:ascii="GHEA Grapalat" w:hAnsi="GHEA Grapalat"/>
          <w:sz w:val="18"/>
          <w:szCs w:val="18"/>
        </w:rPr>
        <w:t xml:space="preserve"> </w:t>
      </w:r>
      <w:hyperlink r:id="rId1" w:anchor=":~:text=In%20the%20third%20quarter%202021,office%20of%20the%20European%20Union" w:history="1">
        <w:r w:rsidRPr="00E22A16">
          <w:rPr>
            <w:rFonts w:ascii="GHEA Grapalat" w:hAnsi="GHEA Grapalat"/>
            <w:sz w:val="18"/>
            <w:szCs w:val="18"/>
          </w:rPr>
          <w:t>գնահատում</w:t>
        </w:r>
      </w:hyperlink>
      <w:r w:rsidRPr="00E22A16">
        <w:rPr>
          <w:rFonts w:ascii="GHEA Grapalat" w:hAnsi="GHEA Grapalat"/>
          <w:sz w:val="18"/>
          <w:szCs w:val="18"/>
        </w:rPr>
        <w:t xml:space="preserve"> (</w:t>
      </w:r>
      <w:hyperlink r:id="rId2" w:history="1">
        <w:r w:rsidRPr="00E22A16">
          <w:rPr>
            <w:rStyle w:val="Hyperlink"/>
            <w:rFonts w:ascii="GHEA Grapalat" w:hAnsi="GHEA Grapalat"/>
            <w:sz w:val="18"/>
            <w:szCs w:val="18"/>
          </w:rPr>
          <w:t>https://ec.europa.eu/eurostat/documents/2995521/14497760/2-29042022-BP-EN.pdf</w:t>
        </w:r>
      </w:hyperlink>
      <w:r w:rsidRPr="00E22A16">
        <w:rPr>
          <w:rFonts w:ascii="GHEA Grapalat" w:hAnsi="GHEA Grapalat"/>
          <w:sz w:val="18"/>
          <w:szCs w:val="18"/>
        </w:rPr>
        <w:t xml:space="preserve">), </w:t>
      </w:r>
      <w:proofErr w:type="spellStart"/>
      <w:r w:rsidRPr="00E22A16">
        <w:rPr>
          <w:rFonts w:ascii="GHEA Grapalat" w:hAnsi="GHEA Grapalat"/>
          <w:sz w:val="18"/>
          <w:szCs w:val="18"/>
        </w:rPr>
        <w:t>էջ</w:t>
      </w:r>
      <w:proofErr w:type="spellEnd"/>
      <w:r w:rsidRPr="00E22A16">
        <w:rPr>
          <w:rFonts w:ascii="GHEA Grapalat" w:hAnsi="GHEA Grapalat"/>
          <w:sz w:val="18"/>
          <w:szCs w:val="18"/>
        </w:rPr>
        <w:t xml:space="preserve"> 2 :</w:t>
      </w:r>
    </w:p>
  </w:footnote>
  <w:footnote w:id="2">
    <w:p w:rsidR="00BC3D9A" w:rsidRPr="00E22A16" w:rsidRDefault="00BC3D9A" w:rsidP="00BC3D9A">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Չինաստանի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վիճակագրության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ազգային</w:t>
      </w:r>
      <w:proofErr w:type="spellEnd"/>
      <w:r w:rsidRPr="00E22A16">
        <w:rPr>
          <w:rFonts w:ascii="GHEA Grapalat" w:hAnsi="GHEA Grapalat"/>
          <w:sz w:val="18"/>
          <w:szCs w:val="18"/>
        </w:rPr>
        <w:t xml:space="preserve"> </w:t>
      </w:r>
      <w:hyperlink r:id="rId3" w:history="1">
        <w:r w:rsidRPr="00E22A16">
          <w:rPr>
            <w:rFonts w:ascii="GHEA Grapalat" w:hAnsi="GHEA Grapalat"/>
            <w:sz w:val="18"/>
            <w:szCs w:val="18"/>
          </w:rPr>
          <w:t>բյուրո</w:t>
        </w:r>
      </w:hyperlink>
      <w:r>
        <w:rPr>
          <w:rFonts w:ascii="GHEA Grapalat" w:hAnsi="GHEA Grapalat"/>
          <w:sz w:val="18"/>
          <w:szCs w:val="18"/>
        </w:rPr>
        <w:t xml:space="preserve"> </w:t>
      </w:r>
      <w:r w:rsidRPr="00E22A16">
        <w:rPr>
          <w:rFonts w:ascii="GHEA Grapalat" w:hAnsi="GHEA Grapalat"/>
          <w:sz w:val="18"/>
          <w:szCs w:val="18"/>
        </w:rPr>
        <w:t>(</w:t>
      </w:r>
      <w:hyperlink r:id="rId4" w:history="1">
        <w:r w:rsidRPr="00E22A16">
          <w:rPr>
            <w:rStyle w:val="Hyperlink"/>
            <w:rFonts w:ascii="GHEA Grapalat" w:hAnsi="GHEA Grapalat"/>
            <w:sz w:val="18"/>
            <w:szCs w:val="18"/>
          </w:rPr>
          <w:t>http://www.stats.gov.cn/english/PressRelease/202204/t20220418_1829688.html</w:t>
        </w:r>
      </w:hyperlink>
      <w:r w:rsidRPr="00E22A16">
        <w:rPr>
          <w:rFonts w:ascii="GHEA Grapalat" w:hAnsi="GHEA Grapalat"/>
          <w:sz w:val="18"/>
          <w:szCs w:val="18"/>
        </w:rPr>
        <w:t>) :</w:t>
      </w:r>
    </w:p>
  </w:footnote>
  <w:footnote w:id="3">
    <w:p w:rsidR="00BC3D9A" w:rsidRPr="00497B24" w:rsidRDefault="00BC3D9A" w:rsidP="00BC3D9A">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ՌԴ </w:t>
      </w:r>
      <w:proofErr w:type="spellStart"/>
      <w:r w:rsidRPr="00E22A16">
        <w:rPr>
          <w:rFonts w:ascii="GHEA Grapalat" w:hAnsi="GHEA Grapalat"/>
          <w:sz w:val="18"/>
          <w:szCs w:val="18"/>
        </w:rPr>
        <w:t>տնտեսական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զարգացման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նախարարության</w:t>
      </w:r>
      <w:proofErr w:type="spellEnd"/>
      <w:r w:rsidRPr="00E22A16">
        <w:rPr>
          <w:rFonts w:ascii="GHEA Grapalat" w:hAnsi="GHEA Grapalat"/>
          <w:sz w:val="18"/>
          <w:szCs w:val="18"/>
        </w:rPr>
        <w:t xml:space="preserve"> </w:t>
      </w:r>
      <w:hyperlink r:id="rId5" w:history="1">
        <w:r w:rsidRPr="00E22A16">
          <w:rPr>
            <w:rFonts w:ascii="GHEA Grapalat" w:hAnsi="GHEA Grapalat"/>
            <w:sz w:val="18"/>
            <w:szCs w:val="18"/>
          </w:rPr>
          <w:t>գնահատմամբ</w:t>
        </w:r>
      </w:hyperlink>
      <w:r w:rsidRPr="00E22A16">
        <w:rPr>
          <w:rFonts w:ascii="GHEA Grapalat" w:hAnsi="GHEA Grapalat"/>
          <w:sz w:val="18"/>
          <w:szCs w:val="18"/>
        </w:rPr>
        <w:t xml:space="preserve"> </w:t>
      </w:r>
      <w:r w:rsidRPr="00497B24">
        <w:rPr>
          <w:rStyle w:val="Hyperlink"/>
          <w:rFonts w:ascii="GHEA Grapalat" w:hAnsi="GHEA Grapalat"/>
          <w:sz w:val="18"/>
          <w:szCs w:val="18"/>
        </w:rPr>
        <w:t>(https://economy.gov.ru/material/file/bffc6cc5eadc71d91c685e2fe5908112/29102021.pdf)</w:t>
      </w:r>
      <w:r w:rsidRPr="00497B24">
        <w:rPr>
          <w:rFonts w:ascii="GHEA Grapalat" w:hAnsi="GHEA Grapalat"/>
          <w:sz w:val="18"/>
          <w:szCs w:val="18"/>
        </w:rPr>
        <w:t>:</w:t>
      </w:r>
    </w:p>
  </w:footnote>
  <w:footnote w:id="4">
    <w:p w:rsidR="00BC3D9A" w:rsidRPr="00E22A16" w:rsidRDefault="00BC3D9A" w:rsidP="00BC3D9A">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Համաշխարհային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բանկ</w:t>
      </w:r>
      <w:proofErr w:type="spellEnd"/>
      <w:r w:rsidRPr="00E22A16">
        <w:rPr>
          <w:rFonts w:ascii="GHEA Grapalat" w:hAnsi="GHEA Grapalat"/>
          <w:sz w:val="18"/>
          <w:szCs w:val="18"/>
        </w:rPr>
        <w:t xml:space="preserve"> ( </w:t>
      </w:r>
      <w:hyperlink r:id="rId6" w:history="1">
        <w:r w:rsidRPr="00E22A16">
          <w:rPr>
            <w:rStyle w:val="Hyperlink"/>
            <w:rFonts w:ascii="GHEA Grapalat" w:hAnsi="GHEA Grapalat"/>
            <w:sz w:val="18"/>
            <w:szCs w:val="18"/>
          </w:rPr>
          <w:t>https://www.worldbank.org/en/research/commodity-markets</w:t>
        </w:r>
      </w:hyperlink>
      <w:r w:rsidRPr="00E22A16">
        <w:rPr>
          <w:rFonts w:ascii="GHEA Grapalat" w:hAnsi="GHEA Grapalat"/>
          <w:sz w:val="18"/>
          <w:szCs w:val="18"/>
        </w:rPr>
        <w:t>):</w:t>
      </w:r>
      <w:r>
        <w:rPr>
          <w:rFonts w:ascii="GHEA Grapalat" w:hAnsi="GHEA Grapalat"/>
          <w:sz w:val="18"/>
          <w:szCs w:val="18"/>
        </w:rPr>
        <w:t xml:space="preserve"> </w:t>
      </w:r>
    </w:p>
  </w:footnote>
  <w:footnote w:id="5">
    <w:p w:rsidR="00BC3D9A" w:rsidRPr="00E22A16" w:rsidRDefault="00BC3D9A" w:rsidP="00BC3D9A">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w:t>
      </w:r>
      <w:r>
        <w:rPr>
          <w:rFonts w:ascii="GHEA Grapalat" w:hAnsi="GHEA Grapalat"/>
          <w:sz w:val="18"/>
          <w:szCs w:val="18"/>
        </w:rPr>
        <w:t>յուրը</w:t>
      </w:r>
      <w:proofErr w:type="spellEnd"/>
      <w:r>
        <w:rPr>
          <w:rFonts w:ascii="GHEA Grapalat" w:hAnsi="GHEA Grapalat"/>
          <w:sz w:val="18"/>
          <w:szCs w:val="18"/>
        </w:rPr>
        <w:t>՝ ՄԱԿ-</w:t>
      </w:r>
      <w:r w:rsidRPr="00E22A16">
        <w:rPr>
          <w:rFonts w:ascii="GHEA Grapalat" w:hAnsi="GHEA Grapalat"/>
          <w:sz w:val="18"/>
          <w:szCs w:val="18"/>
        </w:rPr>
        <w:t xml:space="preserve">ի </w:t>
      </w:r>
      <w:proofErr w:type="spellStart"/>
      <w:r w:rsidRPr="00E22A16">
        <w:rPr>
          <w:rFonts w:ascii="GHEA Grapalat" w:hAnsi="GHEA Grapalat"/>
          <w:sz w:val="18"/>
          <w:szCs w:val="18"/>
        </w:rPr>
        <w:t>պարենի</w:t>
      </w:r>
      <w:proofErr w:type="spellEnd"/>
      <w:r w:rsidRPr="00E22A16">
        <w:rPr>
          <w:rFonts w:ascii="GHEA Grapalat" w:hAnsi="GHEA Grapalat"/>
          <w:sz w:val="18"/>
          <w:szCs w:val="18"/>
        </w:rPr>
        <w:t xml:space="preserve"> և </w:t>
      </w:r>
      <w:proofErr w:type="spellStart"/>
      <w:r w:rsidRPr="00E22A16">
        <w:rPr>
          <w:rFonts w:ascii="GHEA Grapalat" w:hAnsi="GHEA Grapalat"/>
          <w:sz w:val="18"/>
          <w:szCs w:val="18"/>
        </w:rPr>
        <w:t>գյուղատնտեսության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կազմակերպություն</w:t>
      </w:r>
      <w:proofErr w:type="spellEnd"/>
      <w:r w:rsidRPr="00E22A16">
        <w:rPr>
          <w:rFonts w:ascii="GHEA Grapalat" w:hAnsi="GHEA Grapalat"/>
          <w:sz w:val="18"/>
          <w:szCs w:val="18"/>
        </w:rPr>
        <w:t xml:space="preserve"> </w:t>
      </w:r>
      <w:hyperlink r:id="rId7" w:history="1">
        <w:r w:rsidRPr="00E22A16">
          <w:rPr>
            <w:rStyle w:val="Hyperlink"/>
            <w:rFonts w:ascii="GHEA Grapalat" w:hAnsi="GHEA Grapalat"/>
            <w:sz w:val="18"/>
            <w:szCs w:val="18"/>
          </w:rPr>
          <w:t>https://www.fao.org/worldfoodsituation/foodpricesindex/en/</w:t>
        </w:r>
      </w:hyperlink>
    </w:p>
  </w:footnote>
  <w:footnote w:id="6">
    <w:p w:rsidR="00BC3D9A" w:rsidRPr="00E22A16" w:rsidRDefault="00BC3D9A" w:rsidP="00BC3D9A">
      <w:pPr>
        <w:pStyle w:val="FootnoteText"/>
        <w:jc w:val="both"/>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Ճյուղերի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մանրամասն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ցուցանիշները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ներկայացված</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են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Հավելվածում</w:t>
      </w:r>
      <w:proofErr w:type="spellEnd"/>
      <w:r w:rsidRPr="00E22A16">
        <w:rPr>
          <w:rFonts w:ascii="GHEA Grapalat" w:hAnsi="GHEA Grapalat"/>
          <w:sz w:val="18"/>
          <w:szCs w:val="18"/>
        </w:rPr>
        <w:t>:</w:t>
      </w:r>
    </w:p>
  </w:footnote>
  <w:footnote w:id="7">
    <w:p w:rsidR="00BC3D9A" w:rsidRPr="007B2F12" w:rsidRDefault="00BC3D9A" w:rsidP="00BC3D9A">
      <w:pPr>
        <w:pStyle w:val="FootnoteText"/>
        <w:jc w:val="both"/>
        <w:rPr>
          <w:rFonts w:ascii="GHEA Grapalat" w:hAnsi="GHEA Grapalat"/>
          <w:sz w:val="18"/>
          <w:szCs w:val="18"/>
        </w:rPr>
      </w:pPr>
      <w:r w:rsidRPr="007B2F12">
        <w:rPr>
          <w:rStyle w:val="FootnoteReference"/>
          <w:rFonts w:ascii="GHEA Grapalat" w:hAnsi="GHEA Grapalat"/>
          <w:sz w:val="18"/>
          <w:szCs w:val="18"/>
        </w:rPr>
        <w:footnoteRef/>
      </w:r>
      <w:r w:rsidRPr="007B2F12">
        <w:rPr>
          <w:rFonts w:ascii="GHEA Grapalat" w:hAnsi="GHEA Grapalat"/>
          <w:sz w:val="18"/>
          <w:szCs w:val="18"/>
        </w:rPr>
        <w:t xml:space="preserve"> ՏԱՑ-ի </w:t>
      </w:r>
      <w:proofErr w:type="spellStart"/>
      <w:r w:rsidRPr="007B2F12">
        <w:rPr>
          <w:rFonts w:ascii="GHEA Grapalat" w:hAnsi="GHEA Grapalat"/>
          <w:sz w:val="18"/>
          <w:szCs w:val="18"/>
        </w:rPr>
        <w:t>աճին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ճյուղերի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նպաստումները</w:t>
      </w:r>
      <w:proofErr w:type="spellEnd"/>
      <w:r w:rsidRPr="007B2F12">
        <w:rPr>
          <w:rFonts w:ascii="GHEA Grapalat" w:hAnsi="GHEA Grapalat"/>
          <w:sz w:val="18"/>
          <w:szCs w:val="18"/>
        </w:rPr>
        <w:t xml:space="preserve"> ՀՀ </w:t>
      </w:r>
      <w:proofErr w:type="spellStart"/>
      <w:r w:rsidRPr="007B2F12">
        <w:rPr>
          <w:rFonts w:ascii="GHEA Grapalat" w:hAnsi="GHEA Grapalat"/>
          <w:sz w:val="18"/>
          <w:szCs w:val="18"/>
        </w:rPr>
        <w:t>ֆինանսների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նախարարության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գնահատականներն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են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Գյուղատնտեսության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ցուցանիշը</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ոչ</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բոլոր</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հաշվարկներում</w:t>
      </w:r>
      <w:proofErr w:type="spellEnd"/>
      <w:r w:rsidRPr="007B2F12">
        <w:rPr>
          <w:rFonts w:ascii="GHEA Grapalat" w:hAnsi="GHEA Grapalat"/>
          <w:sz w:val="18"/>
          <w:szCs w:val="18"/>
        </w:rPr>
        <w:t xml:space="preserve"> է </w:t>
      </w:r>
      <w:proofErr w:type="spellStart"/>
      <w:r w:rsidRPr="007B2F12">
        <w:rPr>
          <w:rFonts w:ascii="GHEA Grapalat" w:hAnsi="GHEA Grapalat"/>
          <w:sz w:val="18"/>
          <w:szCs w:val="18"/>
        </w:rPr>
        <w:t>ներկայացված</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քանի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որ</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այն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հրապարակվում</w:t>
      </w:r>
      <w:proofErr w:type="spellEnd"/>
      <w:r w:rsidRPr="007B2F12">
        <w:rPr>
          <w:rFonts w:ascii="GHEA Grapalat" w:hAnsi="GHEA Grapalat"/>
          <w:sz w:val="18"/>
          <w:szCs w:val="18"/>
        </w:rPr>
        <w:t xml:space="preserve"> է </w:t>
      </w:r>
      <w:proofErr w:type="spellStart"/>
      <w:r w:rsidRPr="007B2F12">
        <w:rPr>
          <w:rFonts w:ascii="GHEA Grapalat" w:hAnsi="GHEA Grapalat"/>
          <w:sz w:val="18"/>
          <w:szCs w:val="18"/>
        </w:rPr>
        <w:t>եռամսյակային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պարբերականությամբ</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պայմանավորված</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գյուղատնտեսության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սեզոնայնությամբ</w:t>
      </w:r>
      <w:proofErr w:type="spellEnd"/>
      <w:r w:rsidRPr="007B2F12">
        <w:rPr>
          <w:rFonts w:ascii="GHEA Grapalat" w:hAnsi="GHEA Grapalat"/>
          <w:sz w:val="18"/>
          <w:szCs w:val="18"/>
        </w:rPr>
        <w:t xml:space="preserve"> և </w:t>
      </w:r>
      <w:proofErr w:type="spellStart"/>
      <w:r w:rsidRPr="007B2F12">
        <w:rPr>
          <w:rFonts w:ascii="GHEA Grapalat" w:hAnsi="GHEA Grapalat"/>
          <w:sz w:val="18"/>
          <w:szCs w:val="18"/>
        </w:rPr>
        <w:t>բնակլիմայական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ոչ</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կայուն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պայմաններից</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կախված</w:t>
      </w:r>
      <w:proofErr w:type="spellEnd"/>
      <w:r>
        <w:rPr>
          <w:rFonts w:ascii="GHEA Grapalat" w:hAnsi="GHEA Grapalat"/>
          <w:sz w:val="18"/>
          <w:szCs w:val="18"/>
        </w:rPr>
        <w:t>՝</w:t>
      </w:r>
      <w:r w:rsidRPr="007B2F12">
        <w:rPr>
          <w:rFonts w:ascii="GHEA Grapalat" w:hAnsi="GHEA Grapalat"/>
          <w:sz w:val="18"/>
          <w:szCs w:val="18"/>
        </w:rPr>
        <w:t xml:space="preserve"> </w:t>
      </w:r>
      <w:proofErr w:type="spellStart"/>
      <w:r w:rsidRPr="007B2F12">
        <w:rPr>
          <w:rFonts w:ascii="GHEA Grapalat" w:hAnsi="GHEA Grapalat"/>
          <w:sz w:val="18"/>
          <w:szCs w:val="18"/>
        </w:rPr>
        <w:t>ամսական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արտադրության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տատանողականության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հարթեցման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անհրաժեշտությամբ</w:t>
      </w:r>
      <w:proofErr w:type="spellEnd"/>
      <w:r w:rsidRPr="007B2F12">
        <w:rPr>
          <w:rFonts w:ascii="GHEA Grapalat" w:hAnsi="GHEA Grapalat"/>
          <w:sz w:val="18"/>
          <w:szCs w:val="18"/>
        </w:rPr>
        <w:t>:</w:t>
      </w:r>
    </w:p>
  </w:footnote>
  <w:footnote w:id="8">
    <w:p w:rsidR="00BC3D9A" w:rsidRPr="00773FC6" w:rsidRDefault="00BC3D9A" w:rsidP="00BC3D9A">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w:t>
      </w:r>
      <w:proofErr w:type="spellStart"/>
      <w:r w:rsidRPr="00773FC6">
        <w:rPr>
          <w:rFonts w:ascii="GHEA Grapalat" w:eastAsia="GHEA Grapalat" w:hAnsi="GHEA Grapalat" w:cs="GHEA Grapalat"/>
          <w:color w:val="000000"/>
          <w:sz w:val="18"/>
          <w:szCs w:val="18"/>
        </w:rPr>
        <w:t>Համախառն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պահանջարկի</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ցուցանիշները</w:t>
      </w:r>
      <w:proofErr w:type="spellEnd"/>
      <w:r w:rsidRPr="00773FC6">
        <w:rPr>
          <w:rFonts w:ascii="GHEA Grapalat" w:eastAsia="GHEA Grapalat" w:hAnsi="GHEA Grapalat" w:cs="GHEA Grapalat"/>
          <w:color w:val="000000"/>
          <w:sz w:val="18"/>
          <w:szCs w:val="18"/>
        </w:rPr>
        <w:t xml:space="preserve"> ՀՀ </w:t>
      </w:r>
      <w:proofErr w:type="spellStart"/>
      <w:r w:rsidRPr="00773FC6">
        <w:rPr>
          <w:rFonts w:ascii="GHEA Grapalat" w:eastAsia="GHEA Grapalat" w:hAnsi="GHEA Grapalat" w:cs="GHEA Grapalat"/>
          <w:color w:val="000000"/>
          <w:sz w:val="18"/>
          <w:szCs w:val="18"/>
        </w:rPr>
        <w:t>ֆինանսների</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նախարարության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գնահատականներն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են</w:t>
      </w:r>
      <w:proofErr w:type="spellEnd"/>
      <w:r w:rsidRPr="00773FC6">
        <w:rPr>
          <w:rFonts w:ascii="GHEA Grapalat" w:eastAsia="GHEA Grapalat" w:hAnsi="GHEA Grapalat" w:cs="GHEA Grapalat"/>
          <w:color w:val="000000"/>
          <w:sz w:val="18"/>
          <w:szCs w:val="18"/>
        </w:rPr>
        <w:t>:</w:t>
      </w:r>
    </w:p>
  </w:footnote>
  <w:footnote w:id="9">
    <w:p w:rsidR="00BC3D9A" w:rsidRPr="00773FC6" w:rsidRDefault="00BC3D9A" w:rsidP="00BC3D9A">
      <w:pPr>
        <w:jc w:val="both"/>
        <w:rPr>
          <w:rFonts w:ascii="GHEA Grapalat" w:eastAsia="GHEA Grapalat" w:hAnsi="GHEA Grapalat" w:cs="GHEA Grapalat"/>
          <w:color w:val="000000"/>
          <w:sz w:val="18"/>
          <w:szCs w:val="18"/>
          <w:highlight w:val="yellow"/>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olor w:val="000000"/>
          <w:sz w:val="18"/>
          <w:szCs w:val="18"/>
        </w:rPr>
        <w:t>Այստեղ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ներկայացված</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հիմնական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միջոցներում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ներդրումները</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հաշվի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առնելով</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որ</w:t>
      </w:r>
      <w:proofErr w:type="spellEnd"/>
      <w:r w:rsidRPr="00773FC6">
        <w:rPr>
          <w:rFonts w:ascii="GHEA Grapalat" w:eastAsia="GHEA Grapalat" w:hAnsi="GHEA Grapalat"/>
          <w:color w:val="000000"/>
          <w:sz w:val="18"/>
          <w:szCs w:val="18"/>
        </w:rPr>
        <w:t xml:space="preserve"> 2019 </w:t>
      </w:r>
      <w:proofErr w:type="spellStart"/>
      <w:r w:rsidRPr="00773FC6">
        <w:rPr>
          <w:rFonts w:ascii="GHEA Grapalat" w:eastAsia="GHEA Grapalat" w:hAnsi="GHEA Grapalat"/>
          <w:color w:val="000000"/>
          <w:sz w:val="18"/>
          <w:szCs w:val="18"/>
        </w:rPr>
        <w:t>թվականից</w:t>
      </w:r>
      <w:proofErr w:type="spellEnd"/>
      <w:r w:rsidRPr="00773FC6">
        <w:rPr>
          <w:rFonts w:ascii="GHEA Grapalat" w:eastAsia="GHEA Grapalat" w:hAnsi="GHEA Grapalat"/>
          <w:color w:val="000000"/>
          <w:sz w:val="18"/>
          <w:szCs w:val="18"/>
        </w:rPr>
        <w:t xml:space="preserve"> ՀՀ ՎԿ-ի </w:t>
      </w:r>
      <w:proofErr w:type="spellStart"/>
      <w:r w:rsidRPr="00773FC6">
        <w:rPr>
          <w:rFonts w:ascii="GHEA Grapalat" w:eastAsia="GHEA Grapalat" w:hAnsi="GHEA Grapalat"/>
          <w:color w:val="000000"/>
          <w:sz w:val="18"/>
          <w:szCs w:val="18"/>
        </w:rPr>
        <w:t>կողմից</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համախառն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կուտակման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մեջ</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հաշվառվող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պաշարների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փոփոխության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մեջ</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ներառում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նաև</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վիճակագրական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շեղումները</w:t>
      </w:r>
      <w:proofErr w:type="spellEnd"/>
      <w:r w:rsidRPr="00773FC6">
        <w:rPr>
          <w:rFonts w:ascii="GHEA Grapalat" w:eastAsia="GHEA Grapalat" w:hAnsi="GHEA Grapalat"/>
          <w:color w:val="000000"/>
          <w:sz w:val="18"/>
          <w:szCs w:val="18"/>
        </w:rPr>
        <w:t>:</w:t>
      </w:r>
    </w:p>
  </w:footnote>
  <w:footnote w:id="10">
    <w:p w:rsidR="00BC3D9A" w:rsidRPr="00773FC6" w:rsidRDefault="00BC3D9A" w:rsidP="00BC3D9A">
      <w:pPr>
        <w:jc w:val="both"/>
        <w:rPr>
          <w:rFonts w:ascii="GHEA Grapalat" w:eastAsia="GHEA Grapalat" w:hAnsi="GHEA Grapalat"/>
          <w:color w:val="000000"/>
          <w:sz w:val="18"/>
          <w:szCs w:val="18"/>
        </w:rPr>
      </w:pPr>
      <w:r w:rsidRPr="00773FC6">
        <w:rPr>
          <w:rFonts w:ascii="GHEA Grapalat" w:eastAsia="GHEA Grapalat" w:hAnsi="GHEA Grapalat"/>
          <w:color w:val="000000"/>
          <w:sz w:val="18"/>
          <w:szCs w:val="18"/>
          <w:vertAlign w:val="superscript"/>
        </w:rPr>
        <w:footnoteRef/>
      </w:r>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ճյուղային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կառուցվածքի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ցուցանիշները</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վերաբերում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կապիտալ</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շինարարությանն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ուղղվող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մասին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Ավելի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մանրամասն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տե՛ս</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Շինարարություն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հատվածում</w:t>
      </w:r>
      <w:proofErr w:type="spellEnd"/>
      <w:r w:rsidRPr="00773FC6">
        <w:rPr>
          <w:rFonts w:ascii="GHEA Grapalat" w:eastAsia="GHEA Grapalat" w:hAnsi="GHEA Grapalat"/>
          <w:color w:val="000000"/>
          <w:sz w:val="18"/>
          <w:szCs w:val="18"/>
        </w:rPr>
        <w:t>:</w:t>
      </w:r>
    </w:p>
  </w:footnote>
  <w:footnote w:id="11">
    <w:p w:rsidR="00BC3D9A" w:rsidRPr="00773FC6" w:rsidRDefault="00BC3D9A" w:rsidP="00BC3D9A">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w:t>
      </w:r>
      <w:proofErr w:type="spellStart"/>
      <w:r w:rsidRPr="00773FC6">
        <w:rPr>
          <w:rFonts w:ascii="GHEA Grapalat" w:hAnsi="GHEA Grapalat"/>
          <w:sz w:val="18"/>
          <w:szCs w:val="18"/>
        </w:rPr>
        <w:t>Աղբյուրը</w:t>
      </w:r>
      <w:proofErr w:type="spellEnd"/>
      <w:r w:rsidRPr="00773FC6">
        <w:rPr>
          <w:rFonts w:ascii="GHEA Grapalat" w:hAnsi="GHEA Grapalat"/>
          <w:sz w:val="18"/>
          <w:szCs w:val="18"/>
        </w:rPr>
        <w:t xml:space="preserve">՝ ՀՀ ՎԿ և ՀՀ ՖՆ </w:t>
      </w:r>
      <w:proofErr w:type="spellStart"/>
      <w:r w:rsidRPr="00773FC6">
        <w:rPr>
          <w:rFonts w:ascii="GHEA Grapalat" w:hAnsi="GHEA Grapalat"/>
          <w:sz w:val="18"/>
          <w:szCs w:val="18"/>
        </w:rPr>
        <w:t>հաշվարկներ</w:t>
      </w:r>
      <w:proofErr w:type="spellEnd"/>
      <w:r w:rsidRPr="00773FC6">
        <w:rPr>
          <w:rFonts w:ascii="GHEA Grapalat" w:hAnsi="GHEA Grapalat"/>
          <w:sz w:val="18"/>
          <w:szCs w:val="18"/>
        </w:rPr>
        <w:t>։</w:t>
      </w:r>
    </w:p>
  </w:footnote>
  <w:footnote w:id="12">
    <w:p w:rsidR="00BC3D9A" w:rsidRPr="00773FC6" w:rsidRDefault="00BC3D9A" w:rsidP="00BC3D9A">
      <w:pPr>
        <w:pBdr>
          <w:top w:val="nil"/>
          <w:left w:val="nil"/>
          <w:bottom w:val="nil"/>
          <w:right w:val="nil"/>
          <w:between w:val="nil"/>
        </w:pBdr>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proofErr w:type="spellStart"/>
      <w:r w:rsidRPr="00773FC6">
        <w:rPr>
          <w:rFonts w:ascii="GHEA Grapalat" w:hAnsi="GHEA Grapalat"/>
          <w:sz w:val="18"/>
          <w:szCs w:val="18"/>
        </w:rPr>
        <w:t>Ներմուծման</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տվյալները</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ներկայացված</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են</w:t>
      </w:r>
      <w:proofErr w:type="spellEnd"/>
      <w:r w:rsidRPr="00773FC6">
        <w:rPr>
          <w:rFonts w:ascii="GHEA Grapalat" w:hAnsi="GHEA Grapalat"/>
          <w:sz w:val="18"/>
          <w:szCs w:val="18"/>
        </w:rPr>
        <w:t xml:space="preserve"> ՍԻՖ </w:t>
      </w:r>
      <w:proofErr w:type="spellStart"/>
      <w:r w:rsidRPr="00773FC6">
        <w:rPr>
          <w:rFonts w:ascii="GHEA Grapalat" w:hAnsi="GHEA Grapalat"/>
          <w:sz w:val="18"/>
          <w:szCs w:val="18"/>
        </w:rPr>
        <w:t>գներով</w:t>
      </w:r>
      <w:proofErr w:type="spellEnd"/>
      <w:r w:rsidRPr="00773FC6">
        <w:rPr>
          <w:rFonts w:ascii="GHEA Grapalat" w:hAnsi="GHEA Grapalat"/>
          <w:sz w:val="18"/>
          <w:szCs w:val="18"/>
        </w:rPr>
        <w:t xml:space="preserve">: </w:t>
      </w:r>
    </w:p>
  </w:footnote>
  <w:footnote w:id="13">
    <w:p w:rsidR="00BC3D9A" w:rsidRPr="005D5E98" w:rsidRDefault="00BC3D9A" w:rsidP="00BC3D9A">
      <w:pPr>
        <w:pStyle w:val="FootnoteText"/>
        <w:jc w:val="both"/>
        <w:rPr>
          <w:rFonts w:ascii="GHEA Grapalat" w:eastAsia="GHEA Grapalat" w:hAnsi="GHEA Grapalat" w:cs="GHEA Grapalat"/>
          <w:color w:val="000000"/>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Աղբյուրը</w:t>
      </w:r>
      <w:proofErr w:type="spellEnd"/>
      <w:r w:rsidRPr="005D5E9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վիճակագրական</w:t>
      </w:r>
      <w:proofErr w:type="spellEnd"/>
      <w:r w:rsidRPr="005D5E98">
        <w:rPr>
          <w:rFonts w:ascii="GHEA Grapalat" w:eastAsia="GHEA Grapalat" w:hAnsi="GHEA Grapalat" w:cs="GHEA Grapalat"/>
          <w:color w:val="000000"/>
          <w:sz w:val="18"/>
          <w:szCs w:val="18"/>
        </w:rPr>
        <w:t xml:space="preserve"> </w:t>
      </w:r>
      <w:proofErr w:type="spellStart"/>
      <w:r>
        <w:rPr>
          <w:rFonts w:ascii="GHEA Grapalat" w:eastAsia="GHEA Grapalat" w:hAnsi="GHEA Grapalat" w:cs="GHEA Grapalat"/>
          <w:color w:val="000000"/>
          <w:sz w:val="18"/>
          <w:szCs w:val="18"/>
        </w:rPr>
        <w:t>կոմիտե</w:t>
      </w:r>
      <w:proofErr w:type="spellEnd"/>
      <w:r w:rsidRPr="005D5E9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w:t>
      </w:r>
      <w:proofErr w:type="spellStart"/>
      <w:r w:rsidRPr="005D5E98">
        <w:rPr>
          <w:rFonts w:ascii="GHEA Grapalat" w:eastAsia="GHEA Grapalat" w:hAnsi="GHEA Grapalat" w:cs="GHEA Grapalat"/>
          <w:color w:val="000000"/>
          <w:sz w:val="18"/>
          <w:szCs w:val="18"/>
        </w:rPr>
        <w:t>Հայաստանի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Հանրապետության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սոցիալ-տնտեսական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ամսական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զեկույցներ</w:t>
      </w:r>
      <w:proofErr w:type="spellEnd"/>
      <w:r w:rsidRPr="005D5E98">
        <w:rPr>
          <w:rFonts w:ascii="GHEA Grapalat" w:eastAsia="GHEA Grapalat" w:hAnsi="GHEA Grapalat" w:cs="GHEA Grapalat"/>
          <w:color w:val="000000"/>
          <w:sz w:val="18"/>
          <w:szCs w:val="18"/>
        </w:rPr>
        <w:t>:</w:t>
      </w:r>
    </w:p>
  </w:footnote>
  <w:footnote w:id="14">
    <w:p w:rsidR="00BC3D9A" w:rsidRPr="00F533F8" w:rsidRDefault="00BC3D9A" w:rsidP="00BC3D9A">
      <w:pPr>
        <w:spacing w:line="276" w:lineRule="auto"/>
        <w:jc w:val="both"/>
        <w:rPr>
          <w:sz w:val="18"/>
          <w:szCs w:val="18"/>
        </w:rPr>
      </w:pPr>
      <w:r w:rsidRPr="00F533F8">
        <w:rPr>
          <w:rStyle w:val="FootnoteReference"/>
          <w:rFonts w:ascii="GHEA Grapalat" w:hAnsi="GHEA Grapalat"/>
          <w:sz w:val="18"/>
          <w:szCs w:val="18"/>
        </w:rPr>
        <w:footnoteRef/>
      </w:r>
      <w:r w:rsidRPr="00F533F8">
        <w:rPr>
          <w:rStyle w:val="FootnoteReference"/>
          <w:rFonts w:ascii="GHEA Grapalat" w:hAnsi="GHEA Grapalat"/>
          <w:sz w:val="18"/>
          <w:szCs w:val="18"/>
        </w:rPr>
        <w:t xml:space="preserve"> </w:t>
      </w:r>
      <w:proofErr w:type="spellStart"/>
      <w:r w:rsidRPr="00F533F8">
        <w:rPr>
          <w:rFonts w:ascii="GHEA Grapalat" w:eastAsia="GHEA Grapalat" w:hAnsi="GHEA Grapalat" w:cs="GHEA Grapalat"/>
          <w:color w:val="000000"/>
          <w:sz w:val="18"/>
          <w:szCs w:val="18"/>
        </w:rPr>
        <w:t>Աղբյուրը</w:t>
      </w:r>
      <w:proofErr w:type="spellEnd"/>
      <w:r w:rsidRPr="00F533F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վիճակագրական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կոմիտե</w:t>
      </w:r>
      <w:proofErr w:type="spellEnd"/>
      <w:r w:rsidRPr="00F533F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533F8">
        <w:rPr>
          <w:rFonts w:ascii="GHEA Grapalat" w:eastAsia="GHEA Grapalat" w:hAnsi="GHEA Grapalat" w:cs="GHEA Grapalat"/>
          <w:color w:val="000000"/>
          <w:sz w:val="18"/>
          <w:szCs w:val="18"/>
        </w:rPr>
        <w:t>«</w:t>
      </w:r>
      <w:proofErr w:type="spellStart"/>
      <w:r w:rsidRPr="00F533F8">
        <w:rPr>
          <w:rFonts w:ascii="GHEA Grapalat" w:eastAsia="GHEA Grapalat" w:hAnsi="GHEA Grapalat" w:cs="GHEA Grapalat"/>
          <w:color w:val="000000"/>
          <w:sz w:val="18"/>
          <w:szCs w:val="18"/>
        </w:rPr>
        <w:t>Հայաստանի</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Հանրապետության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սոցիալ-տնտեսական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վիճակը</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ամսական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զեկույցներ</w:t>
      </w:r>
      <w:proofErr w:type="spellEnd"/>
      <w:r w:rsidRPr="00F533F8">
        <w:rPr>
          <w:rFonts w:ascii="GHEA Grapalat" w:eastAsia="GHEA Grapalat" w:hAnsi="GHEA Grapalat" w:cs="GHEA Grapalat"/>
          <w:color w:val="000000"/>
          <w:sz w:val="18"/>
          <w:szCs w:val="18"/>
        </w:rPr>
        <w:t xml:space="preserve"> և ՀՀ ՖՆ </w:t>
      </w:r>
      <w:proofErr w:type="spellStart"/>
      <w:r w:rsidRPr="00F533F8">
        <w:rPr>
          <w:rFonts w:ascii="GHEA Grapalat" w:eastAsia="GHEA Grapalat" w:hAnsi="GHEA Grapalat" w:cs="GHEA Grapalat"/>
          <w:color w:val="000000"/>
          <w:sz w:val="18"/>
          <w:szCs w:val="18"/>
        </w:rPr>
        <w:t>հաշվարկներ</w:t>
      </w:r>
      <w:proofErr w:type="spellEnd"/>
      <w:r w:rsidRPr="00F533F8">
        <w:rPr>
          <w:rFonts w:ascii="GHEA Grapalat" w:eastAsia="GHEA Grapalat" w:hAnsi="GHEA Grapalat" w:cs="GHEA Grapalat"/>
          <w:color w:val="000000"/>
          <w:sz w:val="18"/>
          <w:szCs w:val="18"/>
        </w:rPr>
        <w:t>:</w:t>
      </w:r>
    </w:p>
  </w:footnote>
  <w:footnote w:id="15">
    <w:p w:rsidR="00BC3D9A" w:rsidRPr="00F533F8" w:rsidRDefault="00BC3D9A" w:rsidP="00BC3D9A">
      <w:pPr>
        <w:pStyle w:val="FootnoteText"/>
        <w:rPr>
          <w:rFonts w:ascii="GHEA Grapalat" w:hAnsi="GHEA Grapalat"/>
          <w:sz w:val="18"/>
          <w:szCs w:val="18"/>
        </w:rPr>
      </w:pPr>
      <w:r w:rsidRPr="00F533F8">
        <w:rPr>
          <w:rStyle w:val="FootnoteReference"/>
          <w:rFonts w:ascii="GHEA Grapalat" w:hAnsi="GHEA Grapalat"/>
          <w:sz w:val="18"/>
          <w:szCs w:val="18"/>
        </w:rPr>
        <w:footnoteRef/>
      </w:r>
      <w:r w:rsidRPr="00F533F8">
        <w:rPr>
          <w:rFonts w:ascii="GHEA Grapalat" w:hAnsi="GHEA Grapalat"/>
          <w:sz w:val="18"/>
          <w:szCs w:val="18"/>
        </w:rPr>
        <w:t xml:space="preserve"> </w:t>
      </w:r>
      <w:proofErr w:type="spellStart"/>
      <w:r w:rsidRPr="00F533F8">
        <w:rPr>
          <w:rFonts w:ascii="GHEA Grapalat" w:eastAsia="GHEA Grapalat" w:hAnsi="GHEA Grapalat" w:cs="GHEA Grapalat"/>
          <w:color w:val="000000"/>
          <w:sz w:val="18"/>
          <w:szCs w:val="18"/>
        </w:rPr>
        <w:t>Մանրամասն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ցուցանիշները</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ներկայացված</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են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Հավելվածում</w:t>
      </w:r>
      <w:proofErr w:type="spellEnd"/>
      <w:r w:rsidRPr="00F533F8">
        <w:rPr>
          <w:rFonts w:ascii="GHEA Grapalat" w:eastAsia="GHEA Grapalat" w:hAnsi="GHEA Grapalat" w:cs="GHEA Grapalat"/>
          <w:color w:val="000000"/>
          <w:sz w:val="18"/>
          <w:szCs w:val="18"/>
        </w:rPr>
        <w:t>:</w:t>
      </w:r>
    </w:p>
  </w:footnote>
  <w:footnote w:id="16">
    <w:p w:rsidR="00BC3D9A" w:rsidRPr="005D5E98" w:rsidRDefault="00BC3D9A" w:rsidP="00BC3D9A">
      <w:pPr>
        <w:pStyle w:val="FootnoteText"/>
        <w:jc w:val="both"/>
        <w:rPr>
          <w:sz w:val="18"/>
          <w:szCs w:val="18"/>
        </w:rPr>
      </w:pPr>
      <w:r w:rsidRPr="005D5E98">
        <w:rPr>
          <w:rStyle w:val="FootnoteReference"/>
          <w:rFonts w:ascii="GHEA Grapalat" w:hAnsi="GHEA Grapalat"/>
          <w:sz w:val="18"/>
          <w:szCs w:val="18"/>
        </w:rPr>
        <w:footnoteRef/>
      </w:r>
      <w:r w:rsidRPr="005D5E98">
        <w:rPr>
          <w:rStyle w:val="FootnoteReference"/>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Աղբյուրը</w:t>
      </w:r>
      <w:proofErr w:type="spellEnd"/>
      <w:r w:rsidRPr="005D5E9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վիճակագրական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կոմիտե</w:t>
      </w:r>
      <w:proofErr w:type="spellEnd"/>
      <w:r w:rsidRPr="005D5E9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w:t>
      </w:r>
      <w:proofErr w:type="spellStart"/>
      <w:r w:rsidRPr="005D5E98">
        <w:rPr>
          <w:rFonts w:ascii="GHEA Grapalat" w:eastAsia="GHEA Grapalat" w:hAnsi="GHEA Grapalat" w:cs="GHEA Grapalat"/>
          <w:color w:val="000000"/>
          <w:sz w:val="18"/>
          <w:szCs w:val="18"/>
        </w:rPr>
        <w:t>Հայաստանի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Հանրապետության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սոցիալ-տնտեսական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ամսական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զեկույցներ</w:t>
      </w:r>
      <w:proofErr w:type="spellEnd"/>
      <w:r w:rsidRPr="005D5E98">
        <w:rPr>
          <w:rFonts w:ascii="GHEA Grapalat" w:eastAsia="GHEA Grapalat" w:hAnsi="GHEA Grapalat" w:cs="GHEA Grapalat"/>
          <w:color w:val="000000"/>
          <w:sz w:val="18"/>
          <w:szCs w:val="18"/>
        </w:rPr>
        <w:t xml:space="preserve"> և ՀՀ ՖՆ </w:t>
      </w:r>
      <w:proofErr w:type="spellStart"/>
      <w:r w:rsidRPr="005D5E98">
        <w:rPr>
          <w:rFonts w:ascii="GHEA Grapalat" w:eastAsia="GHEA Grapalat" w:hAnsi="GHEA Grapalat" w:cs="GHEA Grapalat"/>
          <w:color w:val="000000"/>
          <w:sz w:val="18"/>
          <w:szCs w:val="18"/>
        </w:rPr>
        <w:t>հաշվարկներ</w:t>
      </w:r>
      <w:proofErr w:type="spellEnd"/>
      <w:r w:rsidRPr="005D5E98">
        <w:rPr>
          <w:rFonts w:ascii="GHEA Grapalat" w:eastAsia="GHEA Grapalat" w:hAnsi="GHEA Grapalat" w:cs="GHEA Grapalat"/>
          <w:color w:val="000000"/>
          <w:sz w:val="18"/>
          <w:szCs w:val="18"/>
        </w:rPr>
        <w:t>:</w:t>
      </w:r>
    </w:p>
  </w:footnote>
  <w:footnote w:id="17">
    <w:p w:rsidR="00BC3D9A" w:rsidRPr="005D5E98" w:rsidRDefault="00BC3D9A" w:rsidP="00BC3D9A">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Մանրամասն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ցուցանիշները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Հավելվածում</w:t>
      </w:r>
      <w:proofErr w:type="spellEnd"/>
      <w:r w:rsidRPr="005D5E98">
        <w:rPr>
          <w:rFonts w:ascii="GHEA Grapalat" w:eastAsia="GHEA Grapalat" w:hAnsi="GHEA Grapalat" w:cs="GHEA Grapalat"/>
          <w:color w:val="000000"/>
          <w:sz w:val="18"/>
          <w:szCs w:val="18"/>
        </w:rPr>
        <w:t>:</w:t>
      </w:r>
    </w:p>
  </w:footnote>
  <w:footnote w:id="18">
    <w:p w:rsidR="00BC3D9A" w:rsidRPr="005D5E98" w:rsidRDefault="00BC3D9A" w:rsidP="00BC3D9A">
      <w:pPr>
        <w:jc w:val="both"/>
        <w:rPr>
          <w:rFonts w:ascii="GHEA Grapalat" w:eastAsia="Merriweather" w:hAnsi="GHEA Grapalat" w:cs="Merriweather"/>
          <w:color w:val="000000"/>
          <w:sz w:val="18"/>
          <w:szCs w:val="18"/>
        </w:rPr>
      </w:pPr>
      <w:r w:rsidRPr="005D5E98">
        <w:rPr>
          <w:rStyle w:val="FootnoteReference"/>
          <w:rFonts w:ascii="GHEA Grapalat" w:hAnsi="GHEA Grapalat"/>
          <w:sz w:val="18"/>
          <w:szCs w:val="18"/>
        </w:rPr>
        <w:footnoteRef/>
      </w:r>
      <w:r w:rsidRPr="005D5E98">
        <w:rPr>
          <w:rFonts w:ascii="GHEA Grapalat" w:hAnsi="GHEA Grapalat"/>
          <w:color w:val="000000"/>
          <w:sz w:val="18"/>
          <w:szCs w:val="18"/>
        </w:rPr>
        <w:t xml:space="preserve"> </w:t>
      </w:r>
      <w:proofErr w:type="spellStart"/>
      <w:r w:rsidRPr="005D5E98">
        <w:rPr>
          <w:rFonts w:ascii="GHEA Grapalat" w:eastAsia="GHEA Grapalat" w:hAnsi="GHEA Grapalat" w:cs="GHEA Grapalat"/>
          <w:color w:val="000000"/>
          <w:sz w:val="18"/>
          <w:szCs w:val="18"/>
        </w:rPr>
        <w:t>Ապրանքների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լայն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դասակարգմամբ</w:t>
      </w:r>
      <w:proofErr w:type="spellEnd"/>
      <w:r w:rsidRPr="005D5E98">
        <w:rPr>
          <w:rFonts w:ascii="GHEA Grapalat" w:eastAsia="GHEA Grapalat" w:hAnsi="GHEA Grapalat" w:cs="GHEA Grapalat"/>
          <w:color w:val="000000"/>
          <w:sz w:val="18"/>
          <w:szCs w:val="18"/>
        </w:rPr>
        <w:t xml:space="preserve"> (BEC) </w:t>
      </w:r>
      <w:proofErr w:type="spellStart"/>
      <w:r w:rsidRPr="005D5E98">
        <w:rPr>
          <w:rFonts w:ascii="GHEA Grapalat" w:eastAsia="GHEA Grapalat" w:hAnsi="GHEA Grapalat" w:cs="GHEA Grapalat"/>
          <w:color w:val="000000"/>
          <w:sz w:val="18"/>
          <w:szCs w:val="18"/>
        </w:rPr>
        <w:t>պաշտոնական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տվյալները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հրապարակվում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տարեկան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կրտվածքով</w:t>
      </w:r>
      <w:proofErr w:type="spellEnd"/>
      <w:r w:rsidRPr="005D5E98">
        <w:rPr>
          <w:rFonts w:ascii="GHEA Grapalat" w:eastAsia="GHEA Grapalat" w:hAnsi="GHEA Grapalat" w:cs="GHEA Grapalat"/>
          <w:color w:val="000000"/>
          <w:sz w:val="18"/>
          <w:szCs w:val="18"/>
        </w:rPr>
        <w:t xml:space="preserve"> և </w:t>
      </w:r>
      <w:proofErr w:type="spellStart"/>
      <w:r w:rsidRPr="005D5E98">
        <w:rPr>
          <w:rFonts w:ascii="GHEA Grapalat" w:eastAsia="GHEA Grapalat" w:hAnsi="GHEA Grapalat" w:cs="GHEA Grapalat"/>
          <w:color w:val="000000"/>
          <w:sz w:val="18"/>
          <w:szCs w:val="18"/>
        </w:rPr>
        <w:t>կհրապարակվեն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հաջորդ</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տարվա</w:t>
      </w:r>
      <w:proofErr w:type="spellEnd"/>
      <w:r w:rsidRPr="005D5E98">
        <w:rPr>
          <w:rFonts w:ascii="GHEA Grapalat" w:eastAsia="GHEA Grapalat" w:hAnsi="GHEA Grapalat" w:cs="GHEA Grapalat"/>
          <w:color w:val="000000"/>
          <w:sz w:val="18"/>
          <w:szCs w:val="18"/>
        </w:rPr>
        <w:t xml:space="preserve">՝ 2023 </w:t>
      </w:r>
      <w:proofErr w:type="spellStart"/>
      <w:r w:rsidRPr="005D5E98">
        <w:rPr>
          <w:rFonts w:ascii="GHEA Grapalat" w:eastAsia="GHEA Grapalat" w:hAnsi="GHEA Grapalat" w:cs="GHEA Grapalat"/>
          <w:color w:val="000000"/>
          <w:sz w:val="18"/>
          <w:szCs w:val="18"/>
        </w:rPr>
        <w:t>թվականի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վերջին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ուստի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այս</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հատվածում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ՀՀ ՖՆ </w:t>
      </w:r>
      <w:proofErr w:type="spellStart"/>
      <w:r w:rsidRPr="005D5E98">
        <w:rPr>
          <w:rFonts w:ascii="GHEA Grapalat" w:eastAsia="GHEA Grapalat" w:hAnsi="GHEA Grapalat" w:cs="GHEA Grapalat"/>
          <w:color w:val="000000"/>
          <w:sz w:val="18"/>
          <w:szCs w:val="18"/>
        </w:rPr>
        <w:t>գնահատականները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կիրառվել</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արտաքին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առևտրի</w:t>
      </w:r>
      <w:proofErr w:type="spellEnd"/>
      <w:r w:rsidRPr="005D5E98">
        <w:rPr>
          <w:rFonts w:ascii="GHEA Grapalat" w:eastAsia="GHEA Grapalat" w:hAnsi="GHEA Grapalat" w:cs="GHEA Grapalat"/>
          <w:color w:val="000000"/>
          <w:sz w:val="18"/>
          <w:szCs w:val="18"/>
        </w:rPr>
        <w:t xml:space="preserve"> 4-անիշ </w:t>
      </w:r>
      <w:proofErr w:type="spellStart"/>
      <w:r w:rsidRPr="005D5E98">
        <w:rPr>
          <w:rFonts w:ascii="GHEA Grapalat" w:eastAsia="GHEA Grapalat" w:hAnsi="GHEA Grapalat" w:cs="GHEA Grapalat"/>
          <w:color w:val="000000"/>
          <w:sz w:val="18"/>
          <w:szCs w:val="18"/>
        </w:rPr>
        <w:t>վիճակագրությունից</w:t>
      </w:r>
      <w:proofErr w:type="spellEnd"/>
      <w:r w:rsidRPr="005D5E98">
        <w:rPr>
          <w:rFonts w:ascii="GHEA Grapalat" w:eastAsia="GHEA Grapalat" w:hAnsi="GHEA Grapalat" w:cs="GHEA Grapalat"/>
          <w:color w:val="000000"/>
          <w:sz w:val="18"/>
          <w:szCs w:val="18"/>
        </w:rPr>
        <w:t xml:space="preserve"> BEC-</w:t>
      </w:r>
      <w:proofErr w:type="spellStart"/>
      <w:r w:rsidRPr="005D5E98">
        <w:rPr>
          <w:rFonts w:ascii="GHEA Grapalat" w:eastAsia="GHEA Grapalat" w:hAnsi="GHEA Grapalat" w:cs="GHEA Grapalat"/>
          <w:color w:val="000000"/>
          <w:sz w:val="18"/>
          <w:szCs w:val="18"/>
        </w:rPr>
        <w:t>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անցման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միջազգային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փորձում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ընդունված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անցումային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բանալիներ</w:t>
      </w:r>
      <w:proofErr w:type="spellEnd"/>
      <w:r w:rsidRPr="005D5E98">
        <w:rPr>
          <w:rFonts w:ascii="GHEA Grapalat" w:eastAsia="GHEA Grapalat" w:hAnsi="GHEA Grapalat" w:cs="GHEA Grapalat"/>
          <w:color w:val="000000"/>
          <w:sz w:val="18"/>
          <w:szCs w:val="18"/>
        </w:rPr>
        <w:t>):</w:t>
      </w:r>
    </w:p>
  </w:footnote>
  <w:footnote w:id="19">
    <w:p w:rsidR="00BC3D9A" w:rsidRPr="005D5E98" w:rsidRDefault="00BC3D9A" w:rsidP="00BC3D9A">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Մանրամասն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ցուցանիշները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Հավելվածում</w:t>
      </w:r>
      <w:proofErr w:type="spellEnd"/>
      <w:r w:rsidRPr="005D5E98">
        <w:rPr>
          <w:rFonts w:ascii="GHEA Grapalat" w:eastAsia="GHEA Grapalat" w:hAnsi="GHEA Grapalat" w:cs="GHEA Grapalat"/>
          <w:color w:val="000000"/>
          <w:sz w:val="18"/>
          <w:szCs w:val="18"/>
        </w:rPr>
        <w:t>:</w:t>
      </w:r>
    </w:p>
  </w:footnote>
  <w:footnote w:id="20">
    <w:p w:rsidR="00BC3D9A" w:rsidRPr="00606D99" w:rsidRDefault="00BC3D9A" w:rsidP="00BC3D9A">
      <w:pPr>
        <w:pBdr>
          <w:top w:val="nil"/>
          <w:left w:val="nil"/>
          <w:bottom w:val="nil"/>
          <w:right w:val="nil"/>
          <w:between w:val="nil"/>
        </w:pBdr>
        <w:jc w:val="both"/>
        <w:rPr>
          <w:rFonts w:ascii="GHEA Grapalat" w:eastAsia="GHEA Grapalat" w:hAnsi="GHEA Grapalat" w:cs="GHEA Grapalat"/>
          <w:color w:val="000000"/>
          <w:sz w:val="18"/>
          <w:szCs w:val="18"/>
        </w:rPr>
      </w:pPr>
      <w:r w:rsidRPr="00606D99">
        <w:rPr>
          <w:rStyle w:val="FootnoteReference"/>
          <w:rFonts w:ascii="GHEA Grapalat" w:hAnsi="GHEA Grapalat"/>
          <w:sz w:val="18"/>
          <w:szCs w:val="18"/>
        </w:rPr>
        <w:footnoteRef/>
      </w:r>
      <w:r w:rsidRPr="00606D99">
        <w:rPr>
          <w:rFonts w:ascii="GHEA Grapalat" w:eastAsia="Merriweather" w:hAnsi="GHEA Grapalat" w:cs="Merriweather"/>
          <w:color w:val="000000"/>
          <w:sz w:val="18"/>
          <w:szCs w:val="18"/>
        </w:rPr>
        <w:t xml:space="preserve"> </w:t>
      </w:r>
      <w:proofErr w:type="spellStart"/>
      <w:r w:rsidRPr="00606D99">
        <w:rPr>
          <w:rFonts w:ascii="GHEA Grapalat" w:eastAsia="GHEA Grapalat" w:hAnsi="GHEA Grapalat" w:cs="GHEA Grapalat"/>
          <w:color w:val="000000"/>
          <w:sz w:val="18"/>
          <w:szCs w:val="18"/>
        </w:rPr>
        <w:t>Ընթացիկ</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առաջին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երեք</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ամիսների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ծառայությունների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մասին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տեղեկատվության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բացակայության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պատճառով</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ողջ</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շարքը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ներկայացված</w:t>
      </w:r>
      <w:proofErr w:type="spellEnd"/>
      <w:r w:rsidRPr="00606D99">
        <w:rPr>
          <w:rFonts w:ascii="GHEA Grapalat" w:eastAsia="GHEA Grapalat" w:hAnsi="GHEA Grapalat" w:cs="GHEA Grapalat"/>
          <w:color w:val="000000"/>
          <w:sz w:val="18"/>
          <w:szCs w:val="18"/>
        </w:rPr>
        <w:t xml:space="preserve"> է </w:t>
      </w:r>
      <w:proofErr w:type="spellStart"/>
      <w:r w:rsidRPr="00606D99">
        <w:rPr>
          <w:rFonts w:ascii="GHEA Grapalat" w:eastAsia="GHEA Grapalat" w:hAnsi="GHEA Grapalat" w:cs="GHEA Grapalat"/>
          <w:color w:val="000000"/>
          <w:sz w:val="18"/>
          <w:szCs w:val="18"/>
        </w:rPr>
        <w:t>ապրանքների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արտահանման</w:t>
      </w:r>
      <w:proofErr w:type="spellEnd"/>
      <w:r w:rsidRPr="00606D99">
        <w:rPr>
          <w:rFonts w:ascii="GHEA Grapalat" w:eastAsia="GHEA Grapalat" w:hAnsi="GHEA Grapalat" w:cs="GHEA Grapalat"/>
          <w:color w:val="000000"/>
          <w:sz w:val="18"/>
          <w:szCs w:val="18"/>
        </w:rPr>
        <w:t xml:space="preserve"> և </w:t>
      </w:r>
      <w:proofErr w:type="spellStart"/>
      <w:r w:rsidRPr="00606D99">
        <w:rPr>
          <w:rFonts w:ascii="GHEA Grapalat" w:eastAsia="GHEA Grapalat" w:hAnsi="GHEA Grapalat" w:cs="GHEA Grapalat"/>
          <w:color w:val="000000"/>
          <w:sz w:val="18"/>
          <w:szCs w:val="18"/>
        </w:rPr>
        <w:t>ներմուծման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հարաբերակցությամբ</w:t>
      </w:r>
      <w:proofErr w:type="spellEnd"/>
      <w:r w:rsidRPr="00606D99">
        <w:rPr>
          <w:rFonts w:ascii="GHEA Grapalat" w:eastAsia="GHEA Grapalat" w:hAnsi="GHEA Grapalat" w:cs="GHEA Grapalat"/>
          <w:color w:val="000000"/>
          <w:sz w:val="18"/>
          <w:szCs w:val="18"/>
        </w:rPr>
        <w:t xml:space="preserve"> (ՖՕԲ </w:t>
      </w:r>
      <w:proofErr w:type="spellStart"/>
      <w:r w:rsidRPr="00606D99">
        <w:rPr>
          <w:rFonts w:ascii="GHEA Grapalat" w:eastAsia="GHEA Grapalat" w:hAnsi="GHEA Grapalat" w:cs="GHEA Grapalat"/>
          <w:color w:val="000000"/>
          <w:sz w:val="18"/>
          <w:szCs w:val="18"/>
        </w:rPr>
        <w:t>գներով</w:t>
      </w:r>
      <w:proofErr w:type="spellEnd"/>
      <w:r>
        <w:rPr>
          <w:rFonts w:ascii="GHEA Grapalat" w:eastAsia="GHEA Grapalat" w:hAnsi="GHEA Grapalat" w:cs="GHEA Grapalat"/>
          <w:color w:val="000000"/>
          <w:sz w:val="18"/>
          <w:szCs w:val="18"/>
        </w:rPr>
        <w:t>, «</w:t>
      </w:r>
      <w:proofErr w:type="spellStart"/>
      <w:r w:rsidRPr="00606D99">
        <w:rPr>
          <w:rFonts w:ascii="GHEA Grapalat" w:eastAsia="GHEA Grapalat" w:hAnsi="GHEA Grapalat" w:cs="GHEA Grapalat"/>
          <w:color w:val="000000"/>
          <w:sz w:val="18"/>
          <w:szCs w:val="18"/>
        </w:rPr>
        <w:t>Ապրանքների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առևտուրն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ըստ</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վճարային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հաշվեկշռի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հիմքի</w:t>
      </w:r>
      <w:proofErr w:type="spellEnd"/>
      <w:r>
        <w:rPr>
          <w:rFonts w:ascii="GHEA Grapalat" w:eastAsia="GHEA Grapalat" w:hAnsi="GHEA Grapalat" w:cs="GHEA Grapalat"/>
          <w:color w:val="000000"/>
          <w:sz w:val="18"/>
          <w:szCs w:val="18"/>
        </w:rPr>
        <w:t>»</w:t>
      </w:r>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հոդված</w:t>
      </w:r>
      <w:proofErr w:type="spellEnd"/>
      <w:r w:rsidRPr="00606D99">
        <w:rPr>
          <w:rFonts w:ascii="GHEA Grapalat" w:eastAsia="GHEA Grapalat" w:hAnsi="GHEA Grapalat" w:cs="GHEA Grapalat"/>
          <w:color w:val="000000"/>
          <w:sz w:val="18"/>
          <w:szCs w:val="18"/>
        </w:rPr>
        <w:t xml:space="preserve">): 2022 </w:t>
      </w:r>
      <w:proofErr w:type="spellStart"/>
      <w:r w:rsidRPr="00606D99">
        <w:rPr>
          <w:rFonts w:ascii="GHEA Grapalat" w:eastAsia="GHEA Grapalat" w:hAnsi="GHEA Grapalat" w:cs="GHEA Grapalat"/>
          <w:color w:val="000000"/>
          <w:sz w:val="18"/>
          <w:szCs w:val="18"/>
        </w:rPr>
        <w:t>թվականի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առաջին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եռամսյակի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ցուցանիշը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նախնական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գնահատական</w:t>
      </w:r>
      <w:proofErr w:type="spellEnd"/>
      <w:r w:rsidRPr="00606D99">
        <w:rPr>
          <w:rFonts w:ascii="GHEA Grapalat" w:eastAsia="GHEA Grapalat" w:hAnsi="GHEA Grapalat" w:cs="GHEA Grapalat"/>
          <w:color w:val="000000"/>
          <w:sz w:val="18"/>
          <w:szCs w:val="18"/>
        </w:rPr>
        <w:t xml:space="preserve"> է: </w:t>
      </w:r>
    </w:p>
    <w:p w:rsidR="00BC3D9A" w:rsidRPr="00606D99" w:rsidRDefault="00BC3D9A" w:rsidP="00BC3D9A">
      <w:pPr>
        <w:pBdr>
          <w:top w:val="nil"/>
          <w:left w:val="nil"/>
          <w:bottom w:val="nil"/>
          <w:right w:val="nil"/>
          <w:between w:val="nil"/>
        </w:pBdr>
        <w:jc w:val="both"/>
        <w:rPr>
          <w:rFonts w:ascii="GHEA Grapalat" w:eastAsia="Merriweather" w:hAnsi="GHEA Grapalat" w:cs="Merriweather"/>
          <w:color w:val="000000"/>
          <w:sz w:val="18"/>
          <w:szCs w:val="18"/>
        </w:rPr>
      </w:pPr>
      <w:proofErr w:type="spellStart"/>
      <w:r w:rsidRPr="00606D99">
        <w:rPr>
          <w:rFonts w:ascii="GHEA Grapalat" w:eastAsia="GHEA Grapalat" w:hAnsi="GHEA Grapalat" w:cs="GHEA Grapalat"/>
          <w:color w:val="000000"/>
          <w:sz w:val="18"/>
          <w:szCs w:val="18"/>
        </w:rPr>
        <w:t>Աղբյուրը</w:t>
      </w:r>
      <w:proofErr w:type="spellEnd"/>
      <w:r w:rsidRPr="00606D99">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վիճակագրական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կոմիտե</w:t>
      </w:r>
      <w:proofErr w:type="spellEnd"/>
      <w:r w:rsidRPr="00606D99">
        <w:rPr>
          <w:rFonts w:ascii="GHEA Grapalat" w:eastAsia="GHEA Grapalat" w:hAnsi="GHEA Grapalat" w:cs="GHEA Grapalat"/>
          <w:color w:val="000000"/>
          <w:sz w:val="18"/>
          <w:szCs w:val="18"/>
        </w:rPr>
        <w:t xml:space="preserve">, «ՀՀ </w:t>
      </w:r>
      <w:proofErr w:type="spellStart"/>
      <w:r w:rsidRPr="00606D99">
        <w:rPr>
          <w:rFonts w:ascii="GHEA Grapalat" w:eastAsia="GHEA Grapalat" w:hAnsi="GHEA Grapalat" w:cs="GHEA Grapalat"/>
          <w:color w:val="000000"/>
          <w:sz w:val="18"/>
          <w:szCs w:val="18"/>
        </w:rPr>
        <w:t>վճարային</w:t>
      </w:r>
      <w:proofErr w:type="spellEnd"/>
      <w:r w:rsidRPr="00606D99">
        <w:rPr>
          <w:rFonts w:ascii="GHEA Grapalat" w:eastAsia="GHEA Grapalat" w:hAnsi="GHEA Grapalat" w:cs="GHEA Grapalat"/>
          <w:color w:val="000000"/>
          <w:sz w:val="18"/>
          <w:szCs w:val="18"/>
        </w:rPr>
        <w:t xml:space="preserve"> հաշվեկշիռ-6» </w:t>
      </w:r>
      <w:proofErr w:type="spellStart"/>
      <w:r w:rsidRPr="00606D99">
        <w:rPr>
          <w:rFonts w:ascii="GHEA Grapalat" w:eastAsia="GHEA Grapalat" w:hAnsi="GHEA Grapalat" w:cs="GHEA Grapalat"/>
          <w:color w:val="000000"/>
          <w:sz w:val="18"/>
          <w:szCs w:val="18"/>
        </w:rPr>
        <w:t>տվյալների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բազա</w:t>
      </w:r>
      <w:proofErr w:type="spellEnd"/>
      <w:r w:rsidRPr="00606D99">
        <w:rPr>
          <w:rFonts w:ascii="GHEA Grapalat" w:eastAsia="GHEA Grapalat" w:hAnsi="GHEA Grapalat" w:cs="GHEA Grapalat"/>
          <w:color w:val="000000"/>
          <w:sz w:val="18"/>
          <w:szCs w:val="18"/>
        </w:rPr>
        <w:t xml:space="preserve"> և ՀՀ ՖՆ </w:t>
      </w:r>
      <w:proofErr w:type="spellStart"/>
      <w:r w:rsidRPr="00606D99">
        <w:rPr>
          <w:rFonts w:ascii="GHEA Grapalat" w:eastAsia="GHEA Grapalat" w:hAnsi="GHEA Grapalat" w:cs="GHEA Grapalat"/>
          <w:color w:val="000000"/>
          <w:sz w:val="18"/>
          <w:szCs w:val="18"/>
        </w:rPr>
        <w:t>գնահատականներ</w:t>
      </w:r>
      <w:proofErr w:type="spellEnd"/>
      <w:r w:rsidRPr="00606D99">
        <w:rPr>
          <w:rFonts w:ascii="GHEA Grapalat" w:eastAsia="GHEA Grapalat" w:hAnsi="GHEA Grapalat" w:cs="GHEA Grapalat"/>
          <w:color w:val="000000"/>
          <w:sz w:val="18"/>
          <w:szCs w:val="18"/>
        </w:rPr>
        <w:t>:</w:t>
      </w:r>
    </w:p>
  </w:footnote>
  <w:footnote w:id="21">
    <w:p w:rsidR="00BC3D9A" w:rsidRPr="00606D99" w:rsidRDefault="00BC3D9A" w:rsidP="00BC3D9A">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proofErr w:type="spellStart"/>
      <w:r w:rsidRPr="00606D99">
        <w:rPr>
          <w:rFonts w:ascii="GHEA Grapalat" w:hAnsi="GHEA Grapalat"/>
          <w:sz w:val="18"/>
          <w:szCs w:val="18"/>
        </w:rPr>
        <w:t>Աղբյուրը</w:t>
      </w:r>
      <w:proofErr w:type="spellEnd"/>
      <w:r w:rsidRPr="00606D99">
        <w:rPr>
          <w:rFonts w:ascii="GHEA Grapalat" w:hAnsi="GHEA Grapalat"/>
          <w:sz w:val="18"/>
          <w:szCs w:val="18"/>
        </w:rPr>
        <w:t>՝ ՀՀ ԿԲ, «</w:t>
      </w:r>
      <w:r w:rsidRPr="00606D99">
        <w:rPr>
          <w:rFonts w:ascii="GHEA Grapalat" w:hAnsi="GHEA Grapalat" w:cs="Sylfaen"/>
          <w:sz w:val="18"/>
          <w:szCs w:val="18"/>
        </w:rPr>
        <w:t xml:space="preserve">ՀՀ </w:t>
      </w:r>
      <w:proofErr w:type="spellStart"/>
      <w:r w:rsidRPr="00606D99">
        <w:rPr>
          <w:rFonts w:ascii="GHEA Grapalat" w:hAnsi="GHEA Grapalat" w:cs="Sylfaen"/>
          <w:sz w:val="18"/>
          <w:szCs w:val="18"/>
        </w:rPr>
        <w:t>բանկերի</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միջոցով</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ֆիզիկական</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անձանց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անունով</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արտերկրից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ստացված</w:t>
      </w:r>
      <w:proofErr w:type="spellEnd"/>
      <w:r w:rsidRPr="00606D99">
        <w:rPr>
          <w:rFonts w:ascii="GHEA Grapalat" w:hAnsi="GHEA Grapalat" w:cs="Sylfaen"/>
          <w:sz w:val="18"/>
          <w:szCs w:val="18"/>
        </w:rPr>
        <w:t xml:space="preserve"> և ՀՀ-</w:t>
      </w:r>
      <w:proofErr w:type="spellStart"/>
      <w:r w:rsidRPr="00606D99">
        <w:rPr>
          <w:rFonts w:ascii="GHEA Grapalat" w:hAnsi="GHEA Grapalat" w:cs="Sylfaen"/>
          <w:sz w:val="18"/>
          <w:szCs w:val="18"/>
        </w:rPr>
        <w:t>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ֆիզիկական</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անձանց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կողմից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արտերկիր</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իրականացված</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փոխանցումներ</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զուտ</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ներհոսք</w:t>
      </w:r>
      <w:proofErr w:type="spellEnd"/>
      <w:r w:rsidRPr="00606D99">
        <w:rPr>
          <w:rFonts w:ascii="GHEA Grapalat" w:hAnsi="GHEA Grapalat" w:cs="Sylfaen"/>
          <w:sz w:val="18"/>
          <w:szCs w:val="18"/>
        </w:rPr>
        <w:t xml:space="preserve"> (</w:t>
      </w:r>
      <w:proofErr w:type="gramStart"/>
      <w:r w:rsidRPr="00606D99">
        <w:rPr>
          <w:rFonts w:ascii="GHEA Grapalat" w:hAnsi="GHEA Grapalat" w:cs="Sylfaen"/>
          <w:sz w:val="18"/>
          <w:szCs w:val="18"/>
        </w:rPr>
        <w:t>https://www.cba.am/am/</w:t>
      </w:r>
      <w:proofErr w:type="spellStart"/>
      <w:r w:rsidRPr="00606D99">
        <w:rPr>
          <w:rFonts w:ascii="GHEA Grapalat" w:hAnsi="GHEA Grapalat" w:cs="Sylfaen"/>
          <w:sz w:val="18"/>
          <w:szCs w:val="18"/>
        </w:rPr>
        <w:t>SitePages</w:t>
      </w:r>
      <w:proofErr w:type="spellEnd"/>
      <w:r w:rsidRPr="00606D99">
        <w:rPr>
          <w:rFonts w:ascii="GHEA Grapalat" w:hAnsi="GHEA Grapalat" w:cs="Sylfaen"/>
          <w:sz w:val="18"/>
          <w:szCs w:val="18"/>
        </w:rPr>
        <w:t>/statexternalsector.aspx)։</w:t>
      </w:r>
      <w:proofErr w:type="gramEnd"/>
    </w:p>
  </w:footnote>
  <w:footnote w:id="22">
    <w:p w:rsidR="00BC3D9A" w:rsidRPr="00606D99" w:rsidRDefault="00BC3D9A" w:rsidP="00BC3D9A">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proofErr w:type="spellStart"/>
      <w:r w:rsidRPr="00606D99">
        <w:rPr>
          <w:rFonts w:ascii="GHEA Grapalat" w:hAnsi="GHEA Grapalat" w:cs="Sylfaen"/>
          <w:sz w:val="18"/>
          <w:szCs w:val="18"/>
        </w:rPr>
        <w:t>Աղբյուր</w:t>
      </w:r>
      <w:proofErr w:type="spellEnd"/>
      <w:r w:rsidRPr="00606D99">
        <w:rPr>
          <w:rFonts w:ascii="GHEA Grapalat" w:hAnsi="GHEA Grapalat" w:cs="Sylfaen"/>
          <w:sz w:val="18"/>
          <w:szCs w:val="18"/>
        </w:rPr>
        <w:t>՝ ՀՀ ԿԲ:</w:t>
      </w:r>
    </w:p>
  </w:footnote>
  <w:footnote w:id="23">
    <w:p w:rsidR="00BC3D9A" w:rsidRPr="00606D99" w:rsidRDefault="00BC3D9A" w:rsidP="00BC3D9A">
      <w:pPr>
        <w:pStyle w:val="FootnoteText"/>
        <w:tabs>
          <w:tab w:val="left" w:pos="142"/>
        </w:tabs>
        <w:jc w:val="both"/>
        <w:rPr>
          <w:rFonts w:ascii="GHEA Grapalat" w:hAnsi="GHEA Grapalat" w:cs="Sylfaen"/>
          <w:sz w:val="18"/>
          <w:szCs w:val="18"/>
        </w:rPr>
      </w:pPr>
      <w:r w:rsidRPr="00606D99">
        <w:rPr>
          <w:rStyle w:val="FootnoteReference"/>
          <w:rFonts w:ascii="GHEA Grapalat" w:hAnsi="GHEA Grapalat"/>
          <w:sz w:val="18"/>
          <w:szCs w:val="18"/>
        </w:rPr>
        <w:footnoteRef/>
      </w:r>
      <w:proofErr w:type="spellStart"/>
      <w:r w:rsidRPr="00606D99">
        <w:rPr>
          <w:rFonts w:ascii="GHEA Grapalat" w:eastAsia="GHEA Grapalat" w:hAnsi="GHEA Grapalat" w:cs="GHEA Grapalat"/>
          <w:color w:val="000000"/>
          <w:sz w:val="18"/>
          <w:szCs w:val="18"/>
        </w:rPr>
        <w:t>Ընդգրկված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չեն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կուտակված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տոկոսները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Վարկերի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մեջ</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ներառված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նաև</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ֆակտորինգային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լիզինգային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գործառնությունները</w:t>
      </w:r>
      <w:proofErr w:type="spellEnd"/>
      <w:r w:rsidRPr="00606D99">
        <w:rPr>
          <w:rFonts w:ascii="GHEA Grapalat" w:eastAsia="GHEA Grapalat" w:hAnsi="GHEA Grapalat" w:cs="GHEA Grapalat"/>
          <w:color w:val="000000"/>
          <w:sz w:val="18"/>
          <w:szCs w:val="18"/>
        </w:rPr>
        <w:t xml:space="preserve"> և </w:t>
      </w:r>
      <w:proofErr w:type="spellStart"/>
      <w:r w:rsidRPr="00606D99">
        <w:rPr>
          <w:rFonts w:ascii="GHEA Grapalat" w:eastAsia="GHEA Grapalat" w:hAnsi="GHEA Grapalat" w:cs="GHEA Grapalat"/>
          <w:color w:val="000000"/>
          <w:sz w:val="18"/>
          <w:szCs w:val="18"/>
        </w:rPr>
        <w:t>ռեպո</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համաձայնագրերը</w:t>
      </w:r>
      <w:proofErr w:type="spellEnd"/>
      <w:r w:rsidRPr="00606D99">
        <w:rPr>
          <w:rFonts w:ascii="GHEA Grapalat" w:eastAsia="GHEA Grapalat" w:hAnsi="GHEA Grapalat" w:cs="GHEA Grapalat"/>
          <w:color w:val="000000"/>
          <w:sz w:val="18"/>
          <w:szCs w:val="18"/>
        </w:rPr>
        <w:t>:</w:t>
      </w:r>
    </w:p>
  </w:footnote>
  <w:footnote w:id="24">
    <w:p w:rsidR="00BC3D9A" w:rsidRPr="00EA58C0" w:rsidRDefault="00BC3D9A" w:rsidP="00BC3D9A">
      <w:pPr>
        <w:pStyle w:val="FootnoteText"/>
        <w:jc w:val="both"/>
      </w:pPr>
      <w:r w:rsidRPr="00EA58C0">
        <w:rPr>
          <w:rStyle w:val="FootnoteReference"/>
          <w:rFonts w:ascii="GHEA Grapalat" w:hAnsi="GHEA Grapalat"/>
          <w:sz w:val="18"/>
          <w:szCs w:val="18"/>
        </w:rPr>
        <w:footnoteRef/>
      </w:r>
      <w:r w:rsidRPr="00EA58C0">
        <w:rPr>
          <w:rFonts w:ascii="GHEA Grapalat" w:hAnsi="GHEA Grapalat"/>
          <w:sz w:val="18"/>
          <w:szCs w:val="18"/>
        </w:rPr>
        <w:t xml:space="preserve"> </w:t>
      </w:r>
      <w:proofErr w:type="spellStart"/>
      <w:r w:rsidRPr="00EA58C0">
        <w:rPr>
          <w:rFonts w:ascii="GHEA Grapalat" w:hAnsi="GHEA Grapalat"/>
          <w:sz w:val="18"/>
          <w:szCs w:val="18"/>
        </w:rPr>
        <w:t>Աղբյուրը</w:t>
      </w:r>
      <w:proofErr w:type="spellEnd"/>
      <w:r w:rsidRPr="00EA58C0">
        <w:rPr>
          <w:rFonts w:ascii="GHEA Grapalat" w:hAnsi="GHEA Grapalat"/>
          <w:sz w:val="18"/>
          <w:szCs w:val="18"/>
        </w:rPr>
        <w:t xml:space="preserve">՝ ՀՀ ԿԲ և ՀՀ ՖՆ </w:t>
      </w:r>
      <w:proofErr w:type="spellStart"/>
      <w:r w:rsidRPr="00EA58C0">
        <w:rPr>
          <w:rFonts w:ascii="GHEA Grapalat" w:hAnsi="GHEA Grapalat"/>
          <w:sz w:val="18"/>
          <w:szCs w:val="18"/>
        </w:rPr>
        <w:t>հաշվարկներ</w:t>
      </w:r>
      <w:proofErr w:type="spellEnd"/>
      <w:r w:rsidRPr="00EA58C0">
        <w:rPr>
          <w:rFonts w:ascii="GHEA Grapalat" w:hAnsi="GHEA Grapalat"/>
          <w:sz w:val="18"/>
          <w:szCs w:val="18"/>
        </w:rPr>
        <w:t>:</w:t>
      </w:r>
    </w:p>
  </w:footnote>
  <w:footnote w:id="25">
    <w:p w:rsidR="00BC3D9A" w:rsidRPr="00B57DAB" w:rsidRDefault="00BC3D9A" w:rsidP="00BC3D9A">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proofErr w:type="spellStart"/>
      <w:r w:rsidRPr="00B57DAB">
        <w:rPr>
          <w:rFonts w:ascii="GHEA Grapalat" w:eastAsia="GHEA Grapalat" w:hAnsi="GHEA Grapalat" w:cs="GHEA Grapalat"/>
          <w:color w:val="000000"/>
          <w:sz w:val="18"/>
          <w:szCs w:val="18"/>
        </w:rPr>
        <w:t>Աղբյուրը</w:t>
      </w:r>
      <w:proofErr w:type="spellEnd"/>
      <w:r w:rsidRPr="00B57DAB">
        <w:rPr>
          <w:rFonts w:ascii="GHEA Grapalat" w:eastAsia="GHEA Grapalat" w:hAnsi="GHEA Grapalat" w:cs="GHEA Grapalat"/>
          <w:color w:val="000000"/>
          <w:sz w:val="18"/>
          <w:szCs w:val="18"/>
        </w:rPr>
        <w:t xml:space="preserve">՝ ՀՀ ՖՆ </w:t>
      </w:r>
      <w:proofErr w:type="spellStart"/>
      <w:r w:rsidRPr="00B57DAB">
        <w:rPr>
          <w:rFonts w:ascii="GHEA Grapalat" w:eastAsia="GHEA Grapalat" w:hAnsi="GHEA Grapalat" w:cs="GHEA Grapalat"/>
          <w:color w:val="000000"/>
          <w:sz w:val="18"/>
          <w:szCs w:val="18"/>
        </w:rPr>
        <w:t>գնահատական</w:t>
      </w:r>
      <w:proofErr w:type="spellEnd"/>
    </w:p>
    <w:p w:rsidR="00BC3D9A" w:rsidRPr="00B57DAB" w:rsidRDefault="00BC3D9A" w:rsidP="00BC3D9A">
      <w:pPr>
        <w:pStyle w:val="FootnoteText"/>
        <w:jc w:val="both"/>
        <w:rPr>
          <w:rFonts w:ascii="GHEA Grapalat" w:hAnsi="GHEA Grapalat"/>
          <w:sz w:val="18"/>
          <w:szCs w:val="18"/>
        </w:rPr>
      </w:pPr>
      <w:proofErr w:type="spellStart"/>
      <w:r w:rsidRPr="00B57DAB">
        <w:rPr>
          <w:rFonts w:ascii="GHEA Grapalat" w:eastAsia="GHEA Grapalat" w:hAnsi="GHEA Grapalat" w:cs="GHEA Grapalat"/>
          <w:color w:val="000000"/>
          <w:sz w:val="18"/>
          <w:szCs w:val="18"/>
        </w:rPr>
        <w:t>Հարկաբյուջետային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ազդակի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հաշվարկներում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օգտագործված</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հարկային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եկամուտների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ցուցանիշները</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ճշգրտվել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միասնական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գանձապետական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համապատասխան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ժամանակահատվածի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շարժի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ցուցանիշով</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Ծախսերում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ներառվել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Covid-19-ին </w:t>
      </w:r>
      <w:proofErr w:type="spellStart"/>
      <w:r w:rsidRPr="00B57DAB">
        <w:rPr>
          <w:rFonts w:ascii="GHEA Grapalat" w:eastAsia="GHEA Grapalat" w:hAnsi="GHEA Grapalat" w:cs="GHEA Grapalat"/>
          <w:color w:val="000000"/>
          <w:sz w:val="18"/>
          <w:szCs w:val="18"/>
        </w:rPr>
        <w:t>ուղղված</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վարկավարման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գումարները</w:t>
      </w:r>
      <w:proofErr w:type="spellEnd"/>
      <w:r w:rsidRPr="00B57DAB">
        <w:rPr>
          <w:rFonts w:ascii="GHEA Grapalat" w:eastAsia="GHEA Grapalat" w:hAnsi="GHEA Grapalat" w:cs="GHEA Grapalat"/>
          <w:color w:val="000000"/>
          <w:sz w:val="18"/>
          <w:szCs w:val="18"/>
        </w:rPr>
        <w:t>:</w:t>
      </w:r>
    </w:p>
  </w:footnote>
  <w:footnote w:id="26">
    <w:p w:rsidR="00BC3D9A" w:rsidRPr="00B57DAB" w:rsidRDefault="00BC3D9A" w:rsidP="00BC3D9A">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proofErr w:type="spellStart"/>
      <w:r w:rsidRPr="00B57DAB">
        <w:rPr>
          <w:rFonts w:ascii="GHEA Grapalat" w:eastAsia="GHEA Grapalat" w:hAnsi="GHEA Grapalat" w:cs="GHEA Grapalat"/>
          <w:color w:val="000000"/>
          <w:sz w:val="18"/>
          <w:szCs w:val="18"/>
        </w:rPr>
        <w:t>Աղյուսակներում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նպաստումները</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հաշվարկվել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նախորդ</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տարվա</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կշիռների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հիման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վրա</w:t>
      </w:r>
      <w:proofErr w:type="spellEnd"/>
      <w:r w:rsidRPr="00B57DAB">
        <w:rPr>
          <w:rFonts w:ascii="GHEA Grapalat" w:eastAsia="GHEA Grapalat" w:hAnsi="GHEA Grapalat" w:cs="GHEA Grapalat"/>
          <w:color w:val="000000"/>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661B3"/>
    <w:multiLevelType w:val="hybridMultilevel"/>
    <w:tmpl w:val="FD58BE3C"/>
    <w:lvl w:ilvl="0" w:tplc="913C2104">
      <w:start w:val="1"/>
      <w:numFmt w:val="decimal"/>
      <w:lvlText w:val="Գծապատկեր %1."/>
      <w:lvlJc w:val="left"/>
      <w:pPr>
        <w:ind w:left="728" w:hanging="360"/>
      </w:pPr>
      <w:rPr>
        <w:rFonts w:ascii="GHEA Grapalat" w:hAnsi="GHEA Grapalat" w:hint="default"/>
        <w:b/>
        <w:i/>
        <w:sz w:val="16"/>
        <w:szCs w:val="2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15:restartNumberingAfterBreak="0">
    <w:nsid w:val="0A6F62E6"/>
    <w:multiLevelType w:val="hybridMultilevel"/>
    <w:tmpl w:val="459840A8"/>
    <w:lvl w:ilvl="0" w:tplc="C2720478">
      <w:start w:val="1"/>
      <w:numFmt w:val="decimal"/>
      <w:lvlText w:val="Գծապատկեր %1."/>
      <w:lvlJc w:val="left"/>
      <w:pPr>
        <w:ind w:left="72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E55C0"/>
    <w:multiLevelType w:val="hybridMultilevel"/>
    <w:tmpl w:val="9B5CB09A"/>
    <w:lvl w:ilvl="0" w:tplc="B8A6444C">
      <w:start w:val="5"/>
      <w:numFmt w:val="decimal"/>
      <w:lvlText w:val="Գծապատկեր %1."/>
      <w:lvlJc w:val="left"/>
      <w:pPr>
        <w:ind w:left="2629" w:hanging="360"/>
      </w:pPr>
      <w:rPr>
        <w:rFonts w:ascii="GHEA Grapalat" w:hAnsi="GHEA Grapalat" w:hint="default"/>
        <w:b/>
        <w:i/>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7B22D1B"/>
    <w:multiLevelType w:val="hybridMultilevel"/>
    <w:tmpl w:val="25F45C94"/>
    <w:lvl w:ilvl="0" w:tplc="913C2104">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FC232E5"/>
    <w:multiLevelType w:val="hybridMultilevel"/>
    <w:tmpl w:val="64245336"/>
    <w:lvl w:ilvl="0" w:tplc="6CDCC3D6">
      <w:start w:val="5"/>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7" w15:restartNumberingAfterBreak="0">
    <w:nsid w:val="6FE15BBB"/>
    <w:multiLevelType w:val="hybridMultilevel"/>
    <w:tmpl w:val="35FEA682"/>
    <w:lvl w:ilvl="0" w:tplc="647ED506">
      <w:start w:val="12"/>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287640"/>
    <w:multiLevelType w:val="hybridMultilevel"/>
    <w:tmpl w:val="A3B60F5E"/>
    <w:lvl w:ilvl="0" w:tplc="3C96B1F6">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8"/>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8"/>
  </w:num>
  <w:num w:numId="5">
    <w:abstractNumId w:val="16"/>
  </w:num>
  <w:num w:numId="6">
    <w:abstractNumId w:val="14"/>
  </w:num>
  <w:num w:numId="7">
    <w:abstractNumId w:val="15"/>
  </w:num>
  <w:num w:numId="8">
    <w:abstractNumId w:val="9"/>
  </w:num>
  <w:num w:numId="9">
    <w:abstractNumId w:val="5"/>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2"/>
  </w:num>
  <w:num w:numId="17">
    <w:abstractNumId w:val="2"/>
  </w:num>
  <w:num w:numId="18">
    <w:abstractNumId w:val="19"/>
  </w:num>
  <w:num w:numId="19">
    <w:abstractNumId w:val="3"/>
  </w:num>
  <w:num w:numId="20">
    <w:abstractNumId w:val="4"/>
  </w:num>
  <w:num w:numId="21">
    <w:abstractNumId w:val="10"/>
  </w:num>
  <w:num w:numId="22">
    <w:abstractNumId w:val="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9A"/>
    <w:rsid w:val="00123888"/>
    <w:rsid w:val="00393028"/>
    <w:rsid w:val="003E7BF8"/>
    <w:rsid w:val="00754B78"/>
    <w:rsid w:val="008B78C4"/>
    <w:rsid w:val="009C3803"/>
    <w:rsid w:val="00BC3D9A"/>
    <w:rsid w:val="00F16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BA74"/>
  <w15:chartTrackingRefBased/>
  <w15:docId w15:val="{5BBEAA87-8813-49A4-B67F-EFEE1947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HEA Grapalat" w:eastAsiaTheme="minorHAnsi" w:hAnsi="GHEA Grapala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D9A"/>
    <w:pPr>
      <w:spacing w:after="0" w:line="240" w:lineRule="auto"/>
    </w:pPr>
    <w:rPr>
      <w:rFonts w:ascii="Arial Armenian" w:eastAsia="Times New Roman" w:hAnsi="Arial Armenian" w:cs="Times New Roman"/>
      <w:szCs w:val="24"/>
    </w:rPr>
  </w:style>
  <w:style w:type="paragraph" w:styleId="Heading1">
    <w:name w:val="heading 1"/>
    <w:basedOn w:val="Normal"/>
    <w:next w:val="Normal"/>
    <w:link w:val="Heading1Char"/>
    <w:uiPriority w:val="9"/>
    <w:qFormat/>
    <w:rsid w:val="00BC3D9A"/>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BC3D9A"/>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BC3D9A"/>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BC3D9A"/>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BC3D9A"/>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BC3D9A"/>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BC3D9A"/>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BC3D9A"/>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BC3D9A"/>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D9A"/>
    <w:rPr>
      <w:rFonts w:ascii="Times Armenian" w:eastAsia="Times New Roman" w:hAnsi="Times Armenian" w:cs="Times New Roman"/>
      <w:b/>
      <w:i/>
      <w:sz w:val="26"/>
      <w:szCs w:val="20"/>
    </w:rPr>
  </w:style>
  <w:style w:type="character" w:customStyle="1" w:styleId="Heading2Char">
    <w:name w:val="Heading 2 Char"/>
    <w:aliases w:val="Paranum Char"/>
    <w:basedOn w:val="DefaultParagraphFont"/>
    <w:link w:val="Heading2"/>
    <w:rsid w:val="00BC3D9A"/>
    <w:rPr>
      <w:rFonts w:ascii="Arial" w:eastAsia="Times New Roman" w:hAnsi="Arial" w:cs="Times New Roman"/>
      <w:b/>
      <w:i/>
      <w:sz w:val="28"/>
      <w:szCs w:val="20"/>
    </w:rPr>
  </w:style>
  <w:style w:type="character" w:customStyle="1" w:styleId="Heading3Char">
    <w:name w:val="Heading 3 Char"/>
    <w:aliases w:val="Centered Char,(text) Char,(Sub-Chapter) Char,Heading 3 Char Char Char Char Char Char Char1"/>
    <w:basedOn w:val="DefaultParagraphFont"/>
    <w:link w:val="Heading3"/>
    <w:uiPriority w:val="9"/>
    <w:rsid w:val="00BC3D9A"/>
    <w:rPr>
      <w:rFonts w:ascii="Times Armenian" w:eastAsia="Times New Roman" w:hAnsi="Times Armenian" w:cs="Times New Roman"/>
      <w:b/>
      <w:i/>
      <w:sz w:val="28"/>
      <w:szCs w:val="20"/>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basedOn w:val="DefaultParagraphFont"/>
    <w:link w:val="Heading4"/>
    <w:uiPriority w:val="9"/>
    <w:rsid w:val="00BC3D9A"/>
    <w:rPr>
      <w:rFonts w:ascii="Times Armenian" w:eastAsia="Times New Roman" w:hAnsi="Times Armenian" w:cs="Times New Roman"/>
      <w:b/>
      <w:bCs/>
      <w:sz w:val="22"/>
      <w:szCs w:val="24"/>
    </w:rPr>
  </w:style>
  <w:style w:type="character" w:customStyle="1" w:styleId="Heading5Char">
    <w:name w:val="Heading 5 Char"/>
    <w:aliases w:val="Side Char1"/>
    <w:basedOn w:val="DefaultParagraphFont"/>
    <w:link w:val="Heading5"/>
    <w:uiPriority w:val="9"/>
    <w:rsid w:val="00BC3D9A"/>
    <w:rPr>
      <w:rFonts w:ascii="Times Armenian" w:eastAsia="Times New Roman" w:hAnsi="Times Armenian" w:cs="Times New Roman"/>
      <w:b/>
      <w:bCs/>
      <w:szCs w:val="24"/>
    </w:rPr>
  </w:style>
  <w:style w:type="character" w:customStyle="1" w:styleId="Heading6Char">
    <w:name w:val="Heading 6 Char"/>
    <w:basedOn w:val="DefaultParagraphFont"/>
    <w:link w:val="Heading6"/>
    <w:uiPriority w:val="9"/>
    <w:rsid w:val="00BC3D9A"/>
    <w:rPr>
      <w:rFonts w:ascii="Times Armenian" w:eastAsia="Times New Roman" w:hAnsi="Times Armenian" w:cs="Times New Roman"/>
      <w:noProof/>
      <w:szCs w:val="24"/>
      <w:u w:val="single"/>
      <w:lang w:val="hy-AM"/>
    </w:rPr>
  </w:style>
  <w:style w:type="character" w:customStyle="1" w:styleId="Heading7Char">
    <w:name w:val="Heading 7 Char"/>
    <w:basedOn w:val="DefaultParagraphFont"/>
    <w:link w:val="Heading7"/>
    <w:uiPriority w:val="99"/>
    <w:rsid w:val="00BC3D9A"/>
    <w:rPr>
      <w:rFonts w:ascii="Times New Roman" w:eastAsia="Times New Roman" w:hAnsi="Times New Roman" w:cs="Times New Roman"/>
      <w:szCs w:val="24"/>
    </w:rPr>
  </w:style>
  <w:style w:type="character" w:customStyle="1" w:styleId="Heading8Char">
    <w:name w:val="Heading 8 Char"/>
    <w:basedOn w:val="DefaultParagraphFont"/>
    <w:link w:val="Heading8"/>
    <w:uiPriority w:val="99"/>
    <w:rsid w:val="00BC3D9A"/>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99"/>
    <w:rsid w:val="00BC3D9A"/>
    <w:rPr>
      <w:rFonts w:ascii="Times New Roman" w:eastAsia="Times New Roman" w:hAnsi="Times New Roman" w:cs="Times New Roman"/>
      <w:sz w:val="22"/>
      <w:szCs w:val="20"/>
      <w:lang w:val="en-GB"/>
    </w:rPr>
  </w:style>
  <w:style w:type="paragraph" w:customStyle="1" w:styleId="Char">
    <w:name w:val="Char"/>
    <w:basedOn w:val="Normal"/>
    <w:rsid w:val="00BC3D9A"/>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BC3D9A"/>
    <w:pPr>
      <w:overflowPunct w:val="0"/>
      <w:autoSpaceDE w:val="0"/>
      <w:autoSpaceDN w:val="0"/>
      <w:adjustRightInd w:val="0"/>
      <w:spacing w:line="360" w:lineRule="auto"/>
      <w:jc w:val="center"/>
      <w:textAlignment w:val="baseline"/>
    </w:pPr>
    <w:rPr>
      <w:rFonts w:ascii="Times Armenian" w:hAnsi="Times Armenian"/>
      <w:b/>
      <w:i/>
      <w:szCs w:val="20"/>
    </w:rPr>
  </w:style>
  <w:style w:type="character" w:customStyle="1" w:styleId="BodyTextChar">
    <w:name w:val="Body Text Char"/>
    <w:aliases w:val="(Main Text) Char,date Char,Body Text (Main text) Char"/>
    <w:basedOn w:val="DefaultParagraphFont"/>
    <w:link w:val="BodyText"/>
    <w:uiPriority w:val="99"/>
    <w:rsid w:val="00BC3D9A"/>
    <w:rPr>
      <w:rFonts w:ascii="Times Armenian" w:eastAsia="Times New Roman" w:hAnsi="Times Armenian" w:cs="Times New Roman"/>
      <w:b/>
      <w:i/>
      <w:szCs w:val="20"/>
    </w:rPr>
  </w:style>
  <w:style w:type="paragraph" w:styleId="Footer">
    <w:name w:val="footer"/>
    <w:basedOn w:val="Normal"/>
    <w:link w:val="FooterChar"/>
    <w:uiPriority w:val="99"/>
    <w:rsid w:val="00BC3D9A"/>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BC3D9A"/>
    <w:rPr>
      <w:rFonts w:ascii="Arial Armenian" w:eastAsia="Times New Roman" w:hAnsi="Arial Armenian" w:cs="Times New Roman"/>
      <w:szCs w:val="20"/>
    </w:rPr>
  </w:style>
  <w:style w:type="character" w:styleId="PageNumber">
    <w:name w:val="page number"/>
    <w:basedOn w:val="DefaultParagraphFont"/>
    <w:uiPriority w:val="99"/>
    <w:rsid w:val="00BC3D9A"/>
  </w:style>
  <w:style w:type="paragraph" w:styleId="BodyText2">
    <w:name w:val="Body Text 2"/>
    <w:basedOn w:val="Normal"/>
    <w:link w:val="BodyText2Char"/>
    <w:uiPriority w:val="99"/>
    <w:rsid w:val="00BC3D9A"/>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basedOn w:val="DefaultParagraphFont"/>
    <w:link w:val="BodyText2"/>
    <w:uiPriority w:val="99"/>
    <w:rsid w:val="00BC3D9A"/>
    <w:rPr>
      <w:rFonts w:ascii="Times Armenian" w:eastAsia="Times New Roman" w:hAnsi="Times Armenian" w:cs="Times New Roman"/>
      <w:sz w:val="22"/>
      <w:szCs w:val="20"/>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BC3D9A"/>
    <w:pPr>
      <w:spacing w:line="360" w:lineRule="auto"/>
      <w:ind w:firstLine="720"/>
      <w:jc w:val="both"/>
    </w:pPr>
    <w:rPr>
      <w:rFonts w:ascii="Times Armenian" w:hAnsi="Times Armenian"/>
    </w:rPr>
  </w:style>
  <w:style w:type="character" w:customStyle="1" w:styleId="BodyTextIndentChar">
    <w:name w:val="Body Text Indent Char"/>
    <w:aliases w:val=" (Table Source) Char,(Table Source) Char,Body Text Indent Char2 Char2,(Table Source) Char2 Char2,(Table Source) Char Char1 Char1,Body Text Indent Char Char Char"/>
    <w:basedOn w:val="DefaultParagraphFont"/>
    <w:link w:val="BodyTextIndent"/>
    <w:rsid w:val="00BC3D9A"/>
    <w:rPr>
      <w:rFonts w:ascii="Times Armenian" w:eastAsia="Times New Roman" w:hAnsi="Times Armenian" w:cs="Times New Roman"/>
      <w:szCs w:val="24"/>
    </w:rPr>
  </w:style>
  <w:style w:type="paragraph" w:styleId="BodyTextIndent3">
    <w:name w:val="Body Text Indent 3"/>
    <w:basedOn w:val="Normal"/>
    <w:link w:val="BodyTextIndent3Char"/>
    <w:uiPriority w:val="99"/>
    <w:rsid w:val="00BC3D9A"/>
    <w:pPr>
      <w:spacing w:line="360" w:lineRule="auto"/>
      <w:ind w:firstLine="720"/>
      <w:jc w:val="both"/>
    </w:pPr>
    <w:rPr>
      <w:rFonts w:ascii="Times Armenian" w:hAnsi="Times Armenian"/>
    </w:rPr>
  </w:style>
  <w:style w:type="character" w:customStyle="1" w:styleId="BodyTextIndent3Char">
    <w:name w:val="Body Text Indent 3 Char"/>
    <w:basedOn w:val="DefaultParagraphFont"/>
    <w:link w:val="BodyTextIndent3"/>
    <w:uiPriority w:val="99"/>
    <w:rsid w:val="00BC3D9A"/>
    <w:rPr>
      <w:rFonts w:ascii="Times Armenian" w:eastAsia="Times New Roman" w:hAnsi="Times Armenian" w:cs="Times New Roman"/>
      <w:szCs w:val="24"/>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BC3D9A"/>
    <w:pPr>
      <w:tabs>
        <w:tab w:val="center" w:pos="4320"/>
        <w:tab w:val="right" w:pos="8640"/>
      </w:tabs>
    </w:pPr>
    <w:rPr>
      <w:rFonts w:ascii="Times New Roman" w:hAnsi="Times New Roman"/>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basedOn w:val="DefaultParagraphFont"/>
    <w:link w:val="Header"/>
    <w:uiPriority w:val="99"/>
    <w:rsid w:val="00BC3D9A"/>
    <w:rPr>
      <w:rFonts w:ascii="Times New Roman" w:eastAsia="Times New Roman" w:hAnsi="Times New Roman" w:cs="Times New Roman"/>
      <w:szCs w:val="24"/>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BC3D9A"/>
    <w:rPr>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basedOn w:val="DefaultParagraphFont"/>
    <w:uiPriority w:val="99"/>
    <w:rsid w:val="00BC3D9A"/>
    <w:rPr>
      <w:rFonts w:ascii="Arial Armenian" w:eastAsia="Times New Roman" w:hAnsi="Arial Armenian" w:cs="Times New Roman"/>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BC3D9A"/>
    <w:rPr>
      <w:rFonts w:ascii="Arial Armenian" w:eastAsia="Times New Roman" w:hAnsi="Arial Armenian"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BC3D9A"/>
    <w:rPr>
      <w:vertAlign w:val="superscript"/>
    </w:rPr>
  </w:style>
  <w:style w:type="paragraph" w:styleId="BodyTextIndent2">
    <w:name w:val="Body Text Indent 2"/>
    <w:basedOn w:val="Normal"/>
    <w:link w:val="BodyTextIndent2Char"/>
    <w:uiPriority w:val="99"/>
    <w:rsid w:val="00BC3D9A"/>
    <w:pPr>
      <w:spacing w:line="360" w:lineRule="auto"/>
      <w:ind w:firstLine="720"/>
      <w:jc w:val="both"/>
    </w:pPr>
    <w:rPr>
      <w:rFonts w:ascii="Times Armenian" w:hAnsi="Times Armenian"/>
    </w:rPr>
  </w:style>
  <w:style w:type="character" w:customStyle="1" w:styleId="BodyTextIndent2Char">
    <w:name w:val="Body Text Indent 2 Char"/>
    <w:basedOn w:val="DefaultParagraphFont"/>
    <w:link w:val="BodyTextIndent2"/>
    <w:uiPriority w:val="99"/>
    <w:rsid w:val="00BC3D9A"/>
    <w:rPr>
      <w:rFonts w:ascii="Times Armenian" w:eastAsia="Times New Roman" w:hAnsi="Times Armenian" w:cs="Times New Roman"/>
      <w:szCs w:val="24"/>
    </w:rPr>
  </w:style>
  <w:style w:type="paragraph" w:styleId="BodyText3">
    <w:name w:val="Body Text 3"/>
    <w:basedOn w:val="Normal"/>
    <w:link w:val="BodyText3Char"/>
    <w:uiPriority w:val="99"/>
    <w:rsid w:val="00BC3D9A"/>
    <w:pPr>
      <w:overflowPunct w:val="0"/>
      <w:autoSpaceDE w:val="0"/>
      <w:autoSpaceDN w:val="0"/>
      <w:adjustRightInd w:val="0"/>
      <w:spacing w:line="360" w:lineRule="auto"/>
      <w:jc w:val="both"/>
      <w:textAlignment w:val="baseline"/>
    </w:pPr>
    <w:rPr>
      <w:rFonts w:ascii="Times Armenian" w:hAnsi="Times Armenian"/>
      <w:i/>
      <w:szCs w:val="20"/>
    </w:rPr>
  </w:style>
  <w:style w:type="character" w:customStyle="1" w:styleId="BodyText3Char">
    <w:name w:val="Body Text 3 Char"/>
    <w:basedOn w:val="DefaultParagraphFont"/>
    <w:link w:val="BodyText3"/>
    <w:uiPriority w:val="99"/>
    <w:rsid w:val="00BC3D9A"/>
    <w:rPr>
      <w:rFonts w:ascii="Times Armenian" w:eastAsia="Times New Roman" w:hAnsi="Times Armenian" w:cs="Times New Roman"/>
      <w:i/>
      <w:szCs w:val="20"/>
    </w:rPr>
  </w:style>
  <w:style w:type="paragraph" w:styleId="BalloonText">
    <w:name w:val="Balloon Text"/>
    <w:basedOn w:val="Normal"/>
    <w:link w:val="BalloonTextChar"/>
    <w:uiPriority w:val="99"/>
    <w:rsid w:val="00BC3D9A"/>
    <w:rPr>
      <w:rFonts w:ascii="Tahoma" w:hAnsi="Tahoma"/>
      <w:sz w:val="16"/>
      <w:szCs w:val="16"/>
    </w:rPr>
  </w:style>
  <w:style w:type="character" w:customStyle="1" w:styleId="BalloonTextChar">
    <w:name w:val="Balloon Text Char"/>
    <w:basedOn w:val="DefaultParagraphFont"/>
    <w:link w:val="BalloonText"/>
    <w:uiPriority w:val="99"/>
    <w:rsid w:val="00BC3D9A"/>
    <w:rPr>
      <w:rFonts w:ascii="Tahoma" w:eastAsia="Times New Roman" w:hAnsi="Tahoma" w:cs="Times New Roman"/>
      <w:sz w:val="16"/>
      <w:szCs w:val="16"/>
    </w:rPr>
  </w:style>
  <w:style w:type="table" w:styleId="TableGrid">
    <w:name w:val="Table Grid"/>
    <w:basedOn w:val="TableNormal"/>
    <w:uiPriority w:val="59"/>
    <w:rsid w:val="00BC3D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1">
    <w:name w:val="Char Char Char Char Char Char Char Char Char Char1"/>
    <w:basedOn w:val="Normal"/>
    <w:uiPriority w:val="99"/>
    <w:qFormat/>
    <w:rsid w:val="00BC3D9A"/>
    <w:pPr>
      <w:spacing w:after="160" w:line="240" w:lineRule="exact"/>
    </w:pPr>
    <w:rPr>
      <w:rFonts w:ascii="Arial" w:hAnsi="Arial" w:cs="Arial"/>
      <w:sz w:val="20"/>
      <w:szCs w:val="20"/>
    </w:rPr>
  </w:style>
  <w:style w:type="character" w:customStyle="1" w:styleId="CharChar4">
    <w:name w:val="Char Char4"/>
    <w:rsid w:val="00BC3D9A"/>
    <w:rPr>
      <w:noProof/>
      <w:lang w:val="hy-AM" w:eastAsia="en-US" w:bidi="ar-SA"/>
    </w:rPr>
  </w:style>
  <w:style w:type="paragraph" w:customStyle="1" w:styleId="2">
    <w:name w:val="Знак Знак2"/>
    <w:basedOn w:val="Normal"/>
    <w:uiPriority w:val="99"/>
    <w:qFormat/>
    <w:rsid w:val="00BC3D9A"/>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BC3D9A"/>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BC3D9A"/>
    <w:pPr>
      <w:spacing w:before="100" w:beforeAutospacing="1" w:after="100" w:afterAutospacing="1"/>
    </w:pPr>
    <w:rPr>
      <w:rFonts w:ascii="Times New Roman" w:hAnsi="Times New Roman"/>
    </w:rPr>
  </w:style>
  <w:style w:type="character" w:styleId="Strong">
    <w:name w:val="Strong"/>
    <w:uiPriority w:val="22"/>
    <w:qFormat/>
    <w:rsid w:val="00BC3D9A"/>
    <w:rPr>
      <w:b/>
      <w:bCs/>
    </w:rPr>
  </w:style>
  <w:style w:type="paragraph" w:styleId="CommentText">
    <w:name w:val="annotation text"/>
    <w:basedOn w:val="Normal"/>
    <w:link w:val="CommentTextChar"/>
    <w:uiPriority w:val="99"/>
    <w:rsid w:val="00BC3D9A"/>
    <w:rPr>
      <w:rFonts w:ascii="Times New Roman" w:hAnsi="Times New Roman"/>
      <w:noProof/>
      <w:sz w:val="20"/>
      <w:szCs w:val="20"/>
      <w:lang w:val="hy-AM"/>
    </w:rPr>
  </w:style>
  <w:style w:type="character" w:customStyle="1" w:styleId="CommentTextChar">
    <w:name w:val="Comment Text Char"/>
    <w:basedOn w:val="DefaultParagraphFont"/>
    <w:link w:val="CommentText"/>
    <w:uiPriority w:val="99"/>
    <w:rsid w:val="00BC3D9A"/>
    <w:rPr>
      <w:rFonts w:ascii="Times New Roman" w:eastAsia="Times New Roman" w:hAnsi="Times New Roman" w:cs="Times New Roman"/>
      <w:noProof/>
      <w:sz w:val="20"/>
      <w:szCs w:val="20"/>
      <w:lang w:val="hy-AM"/>
    </w:rPr>
  </w:style>
  <w:style w:type="paragraph" w:styleId="CommentSubject">
    <w:name w:val="annotation subject"/>
    <w:basedOn w:val="CommentText"/>
    <w:next w:val="CommentText"/>
    <w:link w:val="CommentSubjectChar"/>
    <w:uiPriority w:val="99"/>
    <w:rsid w:val="00BC3D9A"/>
    <w:rPr>
      <w:b/>
      <w:bCs/>
    </w:rPr>
  </w:style>
  <w:style w:type="character" w:customStyle="1" w:styleId="CommentSubjectChar">
    <w:name w:val="Comment Subject Char"/>
    <w:basedOn w:val="CommentTextChar"/>
    <w:link w:val="CommentSubject"/>
    <w:uiPriority w:val="99"/>
    <w:rsid w:val="00BC3D9A"/>
    <w:rPr>
      <w:rFonts w:ascii="Times New Roman" w:eastAsia="Times New Roman" w:hAnsi="Times New Roman" w:cs="Times New Roman"/>
      <w:b/>
      <w:bCs/>
      <w:noProof/>
      <w:sz w:val="20"/>
      <w:szCs w:val="20"/>
      <w:lang w:val="hy-AM"/>
    </w:rPr>
  </w:style>
  <w:style w:type="character" w:customStyle="1" w:styleId="CharChar1">
    <w:name w:val="Char Char1"/>
    <w:rsid w:val="00BC3D9A"/>
    <w:rPr>
      <w:rFonts w:ascii="Times Armenian" w:hAnsi="Times Armenian"/>
      <w:sz w:val="22"/>
      <w:lang w:val="en-US" w:eastAsia="en-US" w:bidi="ar-SA"/>
    </w:rPr>
  </w:style>
  <w:style w:type="character" w:customStyle="1" w:styleId="apple-converted-space">
    <w:name w:val="apple-converted-space"/>
    <w:basedOn w:val="DefaultParagraphFont"/>
    <w:uiPriority w:val="99"/>
    <w:rsid w:val="00BC3D9A"/>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BC3D9A"/>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BC3D9A"/>
    <w:rPr>
      <w:noProof/>
      <w:lang w:val="hy-AM" w:eastAsia="en-US" w:bidi="ar-SA"/>
    </w:rPr>
  </w:style>
  <w:style w:type="paragraph" w:styleId="EndnoteText">
    <w:name w:val="endnote text"/>
    <w:basedOn w:val="Normal"/>
    <w:link w:val="EndnoteTextChar"/>
    <w:uiPriority w:val="99"/>
    <w:rsid w:val="00BC3D9A"/>
    <w:rPr>
      <w:sz w:val="20"/>
      <w:szCs w:val="20"/>
    </w:rPr>
  </w:style>
  <w:style w:type="character" w:customStyle="1" w:styleId="EndnoteTextChar">
    <w:name w:val="Endnote Text Char"/>
    <w:basedOn w:val="DefaultParagraphFont"/>
    <w:link w:val="EndnoteText"/>
    <w:uiPriority w:val="99"/>
    <w:rsid w:val="00BC3D9A"/>
    <w:rPr>
      <w:rFonts w:ascii="Arial Armenian" w:eastAsia="Times New Roman" w:hAnsi="Arial Armenian" w:cs="Times New Roman"/>
      <w:sz w:val="20"/>
      <w:szCs w:val="20"/>
    </w:rPr>
  </w:style>
  <w:style w:type="character" w:styleId="EndnoteReference">
    <w:name w:val="endnote reference"/>
    <w:rsid w:val="00BC3D9A"/>
    <w:rPr>
      <w:vertAlign w:val="superscript"/>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BC3D9A"/>
    <w:pPr>
      <w:ind w:left="720"/>
      <w:contextualSpacing/>
    </w:pPr>
  </w:style>
  <w:style w:type="character" w:customStyle="1" w:styleId="news-content">
    <w:name w:val="news-content"/>
    <w:basedOn w:val="DefaultParagraphFont"/>
    <w:uiPriority w:val="99"/>
    <w:rsid w:val="00BC3D9A"/>
  </w:style>
  <w:style w:type="character" w:styleId="CommentReference">
    <w:name w:val="annotation reference"/>
    <w:rsid w:val="00BC3D9A"/>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BC3D9A"/>
    <w:rPr>
      <w:rFonts w:ascii="Times New Roman" w:eastAsia="Times New Roman" w:hAnsi="Times New Roman" w:cs="Times New Roman"/>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BC3D9A"/>
    <w:rPr>
      <w:rFonts w:ascii="Arial Armenian" w:eastAsia="Times New Roman" w:hAnsi="Arial Armenian" w:cs="Times New Roman"/>
      <w:szCs w:val="24"/>
    </w:rPr>
  </w:style>
  <w:style w:type="paragraph" w:styleId="TOC1">
    <w:name w:val="toc 1"/>
    <w:basedOn w:val="Normal"/>
    <w:next w:val="Normal"/>
    <w:autoRedefine/>
    <w:uiPriority w:val="39"/>
    <w:rsid w:val="00BC3D9A"/>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BC3D9A"/>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BC3D9A"/>
    <w:rPr>
      <w:rFonts w:ascii="Times Armenian" w:hAnsi="Times Armenian"/>
      <w:b/>
      <w:i/>
      <w:noProof/>
      <w:sz w:val="28"/>
      <w:lang w:val="hy-AM" w:eastAsia="en-US" w:bidi="ar-SA"/>
    </w:rPr>
  </w:style>
  <w:style w:type="character" w:styleId="Hyperlink">
    <w:name w:val="Hyperlink"/>
    <w:uiPriority w:val="99"/>
    <w:unhideWhenUsed/>
    <w:rsid w:val="00BC3D9A"/>
    <w:rPr>
      <w:color w:val="0563C1"/>
      <w:u w:val="single"/>
    </w:rPr>
  </w:style>
  <w:style w:type="paragraph" w:styleId="TOC2">
    <w:name w:val="toc 2"/>
    <w:basedOn w:val="Normal"/>
    <w:next w:val="Normal"/>
    <w:autoRedefine/>
    <w:uiPriority w:val="39"/>
    <w:rsid w:val="00BC3D9A"/>
    <w:pPr>
      <w:tabs>
        <w:tab w:val="right" w:leader="dot" w:pos="10196"/>
      </w:tabs>
      <w:spacing w:line="276" w:lineRule="auto"/>
      <w:ind w:left="240"/>
    </w:pPr>
    <w:rPr>
      <w:rFonts w:ascii="GHEA Grapalat" w:hAnsi="GHEA Grapalat"/>
      <w:bCs/>
      <w:noProof/>
      <w:sz w:val="20"/>
      <w:szCs w:val="20"/>
      <w:lang w:val="hy-AM"/>
    </w:rPr>
  </w:style>
  <w:style w:type="character" w:customStyle="1" w:styleId="BodyText2Char1">
    <w:name w:val="Body Text 2 Char1"/>
    <w:uiPriority w:val="99"/>
    <w:rsid w:val="00BC3D9A"/>
    <w:rPr>
      <w:rFonts w:ascii="Times Armenian" w:eastAsia="Times New Roman" w:hAnsi="Times Armenian" w:cs="Times New Roman"/>
      <w:noProof/>
      <w:sz w:val="24"/>
      <w:szCs w:val="24"/>
      <w:lang w:val="hy-AM"/>
    </w:rPr>
  </w:style>
  <w:style w:type="character" w:customStyle="1" w:styleId="FooterChar1">
    <w:name w:val="Footer Char1"/>
    <w:uiPriority w:val="99"/>
    <w:rsid w:val="00BC3D9A"/>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BC3D9A"/>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BC3D9A"/>
    <w:rPr>
      <w:rFonts w:ascii="Times New Roman" w:eastAsia="Times New Roman" w:hAnsi="Times New Roman" w:cs="Times New Roman"/>
      <w:noProof/>
      <w:sz w:val="24"/>
      <w:szCs w:val="24"/>
      <w:lang w:val="hy-AM"/>
    </w:rPr>
  </w:style>
  <w:style w:type="paragraph" w:customStyle="1" w:styleId="a0">
    <w:name w:val="???????"/>
    <w:uiPriority w:val="99"/>
    <w:qFormat/>
    <w:rsid w:val="00BC3D9A"/>
    <w:pPr>
      <w:spacing w:after="0" w:line="240" w:lineRule="auto"/>
    </w:pPr>
    <w:rPr>
      <w:rFonts w:ascii="Times New Roman" w:eastAsia="Times New Roman" w:hAnsi="Times New Roman" w:cs="Times New Roman"/>
      <w:szCs w:val="20"/>
      <w:lang w:eastAsia="ru-RU"/>
    </w:rPr>
  </w:style>
  <w:style w:type="paragraph" w:customStyle="1" w:styleId="10">
    <w:name w:val="???????1"/>
    <w:uiPriority w:val="99"/>
    <w:qFormat/>
    <w:rsid w:val="00BC3D9A"/>
    <w:pPr>
      <w:spacing w:after="0" w:line="240" w:lineRule="auto"/>
    </w:pPr>
    <w:rPr>
      <w:rFonts w:ascii="Times New Roman" w:eastAsia="Times New Roman" w:hAnsi="Times New Roman" w:cs="Times New Roman"/>
      <w:sz w:val="20"/>
      <w:szCs w:val="20"/>
      <w:lang w:val="ru-RU" w:eastAsia="ru-RU"/>
    </w:rPr>
  </w:style>
  <w:style w:type="paragraph" w:customStyle="1" w:styleId="3">
    <w:name w:val="???????? ????? ? ????????3"/>
    <w:basedOn w:val="a0"/>
    <w:uiPriority w:val="99"/>
    <w:qFormat/>
    <w:rsid w:val="00BC3D9A"/>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BC3D9A"/>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BC3D9A"/>
    <w:rPr>
      <w:rFonts w:ascii="Agg_Times1" w:hAnsi="Agg_Times1"/>
      <w:noProof/>
      <w:szCs w:val="20"/>
      <w:lang w:val="en-GB"/>
    </w:rPr>
  </w:style>
  <w:style w:type="paragraph" w:styleId="Title">
    <w:name w:val="Title"/>
    <w:basedOn w:val="Normal"/>
    <w:link w:val="TitleChar1"/>
    <w:uiPriority w:val="10"/>
    <w:qFormat/>
    <w:rsid w:val="00BC3D9A"/>
    <w:pPr>
      <w:jc w:val="center"/>
    </w:pPr>
    <w:rPr>
      <w:b/>
      <w:noProof/>
      <w:sz w:val="28"/>
      <w:szCs w:val="20"/>
      <w:lang w:val="hy-AM"/>
    </w:rPr>
  </w:style>
  <w:style w:type="character" w:customStyle="1" w:styleId="TitleChar">
    <w:name w:val="Title Char"/>
    <w:basedOn w:val="DefaultParagraphFont"/>
    <w:uiPriority w:val="10"/>
    <w:rsid w:val="00BC3D9A"/>
    <w:rPr>
      <w:rFonts w:asciiTheme="majorHAnsi" w:eastAsiaTheme="majorEastAsia" w:hAnsiTheme="majorHAnsi" w:cstheme="majorBidi"/>
      <w:spacing w:val="-10"/>
      <w:kern w:val="28"/>
      <w:sz w:val="56"/>
      <w:szCs w:val="56"/>
    </w:rPr>
  </w:style>
  <w:style w:type="paragraph" w:styleId="BlockText">
    <w:name w:val="Block Text"/>
    <w:basedOn w:val="Normal"/>
    <w:uiPriority w:val="99"/>
    <w:rsid w:val="00BC3D9A"/>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0"/>
    <w:uiPriority w:val="99"/>
    <w:qFormat/>
    <w:rsid w:val="00BC3D9A"/>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BC3D9A"/>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BC3D9A"/>
    <w:pPr>
      <w:spacing w:after="160" w:line="240" w:lineRule="exact"/>
    </w:pPr>
    <w:rPr>
      <w:rFonts w:ascii="Arial" w:hAnsi="Arial" w:cs="Arial"/>
      <w:sz w:val="20"/>
      <w:szCs w:val="20"/>
    </w:rPr>
  </w:style>
  <w:style w:type="paragraph" w:customStyle="1" w:styleId="ZchnZchn1">
    <w:name w:val="Zchn Zchn1"/>
    <w:basedOn w:val="Normal"/>
    <w:uiPriority w:val="99"/>
    <w:qFormat/>
    <w:rsid w:val="00BC3D9A"/>
    <w:pPr>
      <w:spacing w:after="160" w:line="240" w:lineRule="exact"/>
    </w:pPr>
    <w:rPr>
      <w:rFonts w:ascii="Verdana" w:hAnsi="Verdana"/>
      <w:sz w:val="20"/>
      <w:szCs w:val="20"/>
      <w:lang w:val="en-GB"/>
    </w:rPr>
  </w:style>
  <w:style w:type="paragraph" w:customStyle="1" w:styleId="Znak">
    <w:name w:val="Znak"/>
    <w:basedOn w:val="Normal"/>
    <w:uiPriority w:val="99"/>
    <w:qFormat/>
    <w:rsid w:val="00BC3D9A"/>
    <w:pPr>
      <w:tabs>
        <w:tab w:val="left" w:pos="709"/>
      </w:tabs>
    </w:pPr>
    <w:rPr>
      <w:rFonts w:ascii="Tahoma" w:hAnsi="Tahoma"/>
      <w:lang w:val="pl-PL" w:eastAsia="pl-PL"/>
    </w:rPr>
  </w:style>
  <w:style w:type="paragraph" w:customStyle="1" w:styleId="a1">
    <w:name w:val="Знак Знак"/>
    <w:basedOn w:val="Normal"/>
    <w:uiPriority w:val="99"/>
    <w:qFormat/>
    <w:rsid w:val="00BC3D9A"/>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BC3D9A"/>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BC3D9A"/>
    <w:pPr>
      <w:spacing w:after="160"/>
    </w:pPr>
    <w:rPr>
      <w:rFonts w:ascii="Verdana" w:eastAsia="Batang" w:hAnsi="Verdana" w:cs="Verdana"/>
    </w:rPr>
  </w:style>
  <w:style w:type="paragraph" w:customStyle="1" w:styleId="30">
    <w:name w:val="???????? ????? ? ???????? 3"/>
    <w:basedOn w:val="a0"/>
    <w:uiPriority w:val="99"/>
    <w:qFormat/>
    <w:rsid w:val="00BC3D9A"/>
    <w:pPr>
      <w:ind w:firstLine="360"/>
      <w:jc w:val="both"/>
    </w:pPr>
    <w:rPr>
      <w:rFonts w:ascii="Times Armenian" w:hAnsi="Times Armenian"/>
      <w:lang w:val="af-ZA"/>
    </w:rPr>
  </w:style>
  <w:style w:type="paragraph" w:customStyle="1" w:styleId="a2">
    <w:name w:val="???????? ????? ? ????????"/>
    <w:basedOn w:val="10"/>
    <w:uiPriority w:val="99"/>
    <w:qFormat/>
    <w:rsid w:val="00BC3D9A"/>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BC3D9A"/>
    <w:pPr>
      <w:tabs>
        <w:tab w:val="left" w:pos="709"/>
      </w:tabs>
    </w:pPr>
    <w:rPr>
      <w:rFonts w:ascii="Tahoma" w:hAnsi="Tahoma"/>
      <w:lang w:val="pl-PL" w:eastAsia="pl-PL"/>
    </w:rPr>
  </w:style>
  <w:style w:type="paragraph" w:customStyle="1" w:styleId="norm">
    <w:name w:val="norm"/>
    <w:basedOn w:val="Normal"/>
    <w:link w:val="normChar"/>
    <w:uiPriority w:val="99"/>
    <w:qFormat/>
    <w:rsid w:val="00BC3D9A"/>
    <w:pPr>
      <w:spacing w:line="480" w:lineRule="auto"/>
      <w:ind w:firstLine="709"/>
      <w:jc w:val="both"/>
    </w:pPr>
    <w:rPr>
      <w:sz w:val="22"/>
      <w:szCs w:val="20"/>
      <w:lang w:eastAsia="ru-RU"/>
    </w:rPr>
  </w:style>
  <w:style w:type="character" w:customStyle="1" w:styleId="normChar">
    <w:name w:val="norm Char"/>
    <w:link w:val="norm"/>
    <w:uiPriority w:val="99"/>
    <w:rsid w:val="00BC3D9A"/>
    <w:rPr>
      <w:rFonts w:ascii="Arial Armenian" w:eastAsia="Times New Roman" w:hAnsi="Arial Armenian" w:cs="Times New Roman"/>
      <w:sz w:val="22"/>
      <w:szCs w:val="20"/>
      <w:lang w:eastAsia="ru-RU"/>
    </w:rPr>
  </w:style>
  <w:style w:type="paragraph" w:customStyle="1" w:styleId="Char1">
    <w:name w:val="Char1"/>
    <w:basedOn w:val="Normal"/>
    <w:next w:val="Normal"/>
    <w:uiPriority w:val="99"/>
    <w:qFormat/>
    <w:rsid w:val="00BC3D9A"/>
    <w:pPr>
      <w:spacing w:after="160" w:line="240" w:lineRule="exact"/>
    </w:pPr>
    <w:rPr>
      <w:rFonts w:ascii="Tahoma" w:hAnsi="Tahoma"/>
      <w:szCs w:val="20"/>
    </w:rPr>
  </w:style>
  <w:style w:type="paragraph" w:customStyle="1" w:styleId="BodyText21">
    <w:name w:val="Body Text 21"/>
    <w:basedOn w:val="Normal"/>
    <w:uiPriority w:val="99"/>
    <w:qFormat/>
    <w:rsid w:val="00BC3D9A"/>
    <w:pPr>
      <w:autoSpaceDE w:val="0"/>
      <w:autoSpaceDN w:val="0"/>
      <w:spacing w:line="360" w:lineRule="auto"/>
    </w:pPr>
    <w:rPr>
      <w:sz w:val="20"/>
      <w:szCs w:val="20"/>
    </w:rPr>
  </w:style>
  <w:style w:type="paragraph" w:customStyle="1" w:styleId="20">
    <w:name w:val="???????? ????? 2"/>
    <w:basedOn w:val="a0"/>
    <w:uiPriority w:val="99"/>
    <w:qFormat/>
    <w:rsid w:val="00BC3D9A"/>
    <w:pPr>
      <w:jc w:val="center"/>
    </w:pPr>
    <w:rPr>
      <w:rFonts w:ascii="Times Armenian" w:hAnsi="Times Armenian"/>
      <w:i/>
      <w:sz w:val="28"/>
    </w:rPr>
  </w:style>
  <w:style w:type="paragraph" w:customStyle="1" w:styleId="Default">
    <w:name w:val="Default"/>
    <w:link w:val="DefaultChar"/>
    <w:uiPriority w:val="99"/>
    <w:qFormat/>
    <w:rsid w:val="00BC3D9A"/>
    <w:pPr>
      <w:autoSpaceDE w:val="0"/>
      <w:autoSpaceDN w:val="0"/>
      <w:adjustRightInd w:val="0"/>
      <w:spacing w:after="0" w:line="240" w:lineRule="auto"/>
    </w:pPr>
    <w:rPr>
      <w:rFonts w:ascii="Warnock Pro" w:eastAsia="Times New Roman" w:hAnsi="Warnock Pro" w:cs="Times New Roman"/>
      <w:color w:val="000000"/>
      <w:szCs w:val="24"/>
    </w:rPr>
  </w:style>
  <w:style w:type="character" w:styleId="Emphasis">
    <w:name w:val="Emphasis"/>
    <w:uiPriority w:val="99"/>
    <w:qFormat/>
    <w:rsid w:val="00BC3D9A"/>
    <w:rPr>
      <w:i/>
      <w:iCs/>
    </w:rPr>
  </w:style>
  <w:style w:type="paragraph" w:customStyle="1" w:styleId="CharCharCharCharCharCharCharCharCharChar4">
    <w:name w:val="Char Char Char Char Char Char Char Char Char Char4"/>
    <w:basedOn w:val="Normal"/>
    <w:uiPriority w:val="99"/>
    <w:qFormat/>
    <w:rsid w:val="00BC3D9A"/>
    <w:pPr>
      <w:spacing w:after="160" w:line="240" w:lineRule="exact"/>
    </w:pPr>
    <w:rPr>
      <w:rFonts w:ascii="Arial" w:hAnsi="Arial" w:cs="Arial"/>
      <w:sz w:val="20"/>
      <w:szCs w:val="20"/>
    </w:rPr>
  </w:style>
  <w:style w:type="character" w:styleId="FollowedHyperlink">
    <w:name w:val="FollowedHyperlink"/>
    <w:uiPriority w:val="99"/>
    <w:rsid w:val="00BC3D9A"/>
    <w:rPr>
      <w:color w:val="800080"/>
      <w:u w:val="single"/>
    </w:rPr>
  </w:style>
  <w:style w:type="paragraph" w:customStyle="1" w:styleId="ListParagraph1">
    <w:name w:val="List Paragraph1"/>
    <w:aliases w:val="Абзац списка1,Paragraphe de liste PBLH"/>
    <w:basedOn w:val="Normal"/>
    <w:uiPriority w:val="99"/>
    <w:qFormat/>
    <w:rsid w:val="00BC3D9A"/>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BC3D9A"/>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BC3D9A"/>
    <w:pPr>
      <w:jc w:val="center"/>
    </w:pPr>
    <w:rPr>
      <w:sz w:val="22"/>
      <w:szCs w:val="22"/>
      <w:lang w:eastAsia="ru-RU"/>
    </w:rPr>
  </w:style>
  <w:style w:type="character" w:customStyle="1" w:styleId="mechtexChar">
    <w:name w:val="mechtex Char"/>
    <w:link w:val="mechtex"/>
    <w:uiPriority w:val="99"/>
    <w:rsid w:val="00BC3D9A"/>
    <w:rPr>
      <w:rFonts w:ascii="Arial Armenian" w:eastAsia="Times New Roman" w:hAnsi="Arial Armenian" w:cs="Times New Roman"/>
      <w:sz w:val="22"/>
      <w:lang w:eastAsia="ru-RU"/>
    </w:rPr>
  </w:style>
  <w:style w:type="paragraph" w:customStyle="1" w:styleId="6">
    <w:name w:val="Знак Знак6"/>
    <w:basedOn w:val="Normal"/>
    <w:autoRedefine/>
    <w:uiPriority w:val="99"/>
    <w:qFormat/>
    <w:rsid w:val="00BC3D9A"/>
    <w:rPr>
      <w:rFonts w:ascii="Times New Roman" w:eastAsia="SimSun" w:hAnsi="Times New Roman"/>
      <w:sz w:val="20"/>
      <w:szCs w:val="20"/>
      <w:lang w:eastAsia="ru-RU"/>
    </w:rPr>
  </w:style>
  <w:style w:type="paragraph" w:customStyle="1" w:styleId="Znak4">
    <w:name w:val="Znak4"/>
    <w:basedOn w:val="Normal"/>
    <w:uiPriority w:val="99"/>
    <w:qFormat/>
    <w:rsid w:val="00BC3D9A"/>
    <w:pPr>
      <w:tabs>
        <w:tab w:val="left" w:pos="709"/>
      </w:tabs>
    </w:pPr>
    <w:rPr>
      <w:rFonts w:ascii="Tahoma" w:hAnsi="Tahoma"/>
      <w:lang w:val="pl-PL" w:eastAsia="pl-PL"/>
    </w:rPr>
  </w:style>
  <w:style w:type="character" w:customStyle="1" w:styleId="t101">
    <w:name w:val="t101"/>
    <w:uiPriority w:val="99"/>
    <w:rsid w:val="00BC3D9A"/>
    <w:rPr>
      <w:b/>
      <w:bCs/>
      <w:color w:val="0000FF"/>
    </w:rPr>
  </w:style>
  <w:style w:type="paragraph" w:styleId="Caption">
    <w:name w:val="caption"/>
    <w:basedOn w:val="Normal"/>
    <w:next w:val="Normal"/>
    <w:uiPriority w:val="35"/>
    <w:qFormat/>
    <w:rsid w:val="00BC3D9A"/>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BC3D9A"/>
    <w:pPr>
      <w:spacing w:after="120"/>
      <w:ind w:left="360"/>
    </w:pPr>
    <w:rPr>
      <w:rFonts w:ascii="Times New Roman" w:hAnsi="Times New Roman"/>
      <w:sz w:val="20"/>
    </w:rPr>
  </w:style>
  <w:style w:type="table" w:styleId="TableColumns2">
    <w:name w:val="Table Columns 2"/>
    <w:basedOn w:val="TableNormal"/>
    <w:uiPriority w:val="99"/>
    <w:rsid w:val="00BC3D9A"/>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BC3D9A"/>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BC3D9A"/>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BC3D9A"/>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BC3D9A"/>
    <w:pPr>
      <w:spacing w:after="160" w:line="240" w:lineRule="exact"/>
    </w:pPr>
    <w:rPr>
      <w:rFonts w:ascii="Arial" w:hAnsi="Arial" w:cs="Arial"/>
      <w:sz w:val="20"/>
      <w:szCs w:val="20"/>
    </w:rPr>
  </w:style>
  <w:style w:type="paragraph" w:customStyle="1" w:styleId="Char8">
    <w:name w:val="Char8"/>
    <w:basedOn w:val="Normal"/>
    <w:uiPriority w:val="99"/>
    <w:qFormat/>
    <w:locked/>
    <w:rsid w:val="00BC3D9A"/>
    <w:pPr>
      <w:spacing w:after="160"/>
    </w:pPr>
    <w:rPr>
      <w:rFonts w:ascii="Verdana" w:eastAsia="Batang" w:hAnsi="Verdana" w:cs="Verdana"/>
    </w:rPr>
  </w:style>
  <w:style w:type="paragraph" w:customStyle="1" w:styleId="12">
    <w:name w:val="Знак Знак1"/>
    <w:basedOn w:val="Normal"/>
    <w:uiPriority w:val="99"/>
    <w:qFormat/>
    <w:rsid w:val="00BC3D9A"/>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BC3D9A"/>
    <w:pPr>
      <w:spacing w:after="160" w:line="240" w:lineRule="exact"/>
    </w:pPr>
    <w:rPr>
      <w:rFonts w:ascii="Arial" w:hAnsi="Arial" w:cs="Arial"/>
      <w:b/>
      <w:bCs/>
      <w:sz w:val="20"/>
      <w:szCs w:val="20"/>
    </w:rPr>
  </w:style>
  <w:style w:type="paragraph" w:customStyle="1" w:styleId="general">
    <w:name w:val="general"/>
    <w:basedOn w:val="Normal"/>
    <w:uiPriority w:val="99"/>
    <w:qFormat/>
    <w:rsid w:val="00BC3D9A"/>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BC3D9A"/>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BC3D9A"/>
    <w:rPr>
      <w:rFonts w:ascii="Sylfaen" w:hAnsi="Sylfaen"/>
      <w:color w:val="auto"/>
    </w:rPr>
  </w:style>
  <w:style w:type="paragraph" w:customStyle="1" w:styleId="BodyText1">
    <w:name w:val="Body Text1"/>
    <w:basedOn w:val="Default"/>
    <w:next w:val="Default"/>
    <w:uiPriority w:val="99"/>
    <w:qFormat/>
    <w:rsid w:val="00BC3D9A"/>
    <w:rPr>
      <w:rFonts w:ascii="Sylfaen" w:hAnsi="Sylfaen"/>
      <w:color w:val="auto"/>
    </w:rPr>
  </w:style>
  <w:style w:type="paragraph" w:customStyle="1" w:styleId="Text">
    <w:name w:val="Text"/>
    <w:basedOn w:val="Normal"/>
    <w:uiPriority w:val="99"/>
    <w:qFormat/>
    <w:rsid w:val="00BC3D9A"/>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BC3D9A"/>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BC3D9A"/>
    <w:rPr>
      <w:rFonts w:ascii="Courier New" w:hAnsi="Courier New"/>
      <w:sz w:val="20"/>
      <w:szCs w:val="20"/>
    </w:rPr>
  </w:style>
  <w:style w:type="character" w:customStyle="1" w:styleId="PlainTextChar">
    <w:name w:val="Plain Text Char"/>
    <w:basedOn w:val="DefaultParagraphFont"/>
    <w:uiPriority w:val="99"/>
    <w:rsid w:val="00BC3D9A"/>
    <w:rPr>
      <w:rFonts w:ascii="Consolas" w:eastAsia="Times New Roman" w:hAnsi="Consolas" w:cs="Times New Roman"/>
      <w:sz w:val="21"/>
      <w:szCs w:val="21"/>
    </w:rPr>
  </w:style>
  <w:style w:type="paragraph" w:customStyle="1" w:styleId="Tabletext">
    <w:name w:val="Tabletext"/>
    <w:basedOn w:val="Normal"/>
    <w:uiPriority w:val="99"/>
    <w:qFormat/>
    <w:rsid w:val="00BC3D9A"/>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BC3D9A"/>
    <w:pPr>
      <w:keepNext/>
      <w:spacing w:after="130"/>
      <w:jc w:val="center"/>
    </w:pPr>
  </w:style>
  <w:style w:type="paragraph" w:customStyle="1" w:styleId="Bullet">
    <w:name w:val="Bullet"/>
    <w:aliases w:val="bl,Bullet L1,bl1"/>
    <w:basedOn w:val="Normal"/>
    <w:uiPriority w:val="99"/>
    <w:qFormat/>
    <w:rsid w:val="00BC3D9A"/>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BC3D9A"/>
    <w:pPr>
      <w:numPr>
        <w:numId w:val="2"/>
      </w:numPr>
    </w:pPr>
    <w:rPr>
      <w:rFonts w:ascii="Times New Roman" w:hAnsi="Times New Roman"/>
    </w:rPr>
  </w:style>
  <w:style w:type="paragraph" w:styleId="ListContinue2">
    <w:name w:val="List Continue 2"/>
    <w:basedOn w:val="Normal"/>
    <w:uiPriority w:val="99"/>
    <w:rsid w:val="00BC3D9A"/>
    <w:pPr>
      <w:spacing w:after="120"/>
      <w:ind w:left="720"/>
    </w:pPr>
    <w:rPr>
      <w:rFonts w:ascii="Times New Roman" w:hAnsi="Times New Roman"/>
    </w:rPr>
  </w:style>
  <w:style w:type="paragraph" w:customStyle="1" w:styleId="GlossaryHeader">
    <w:name w:val="Glossary Header"/>
    <w:next w:val="Normal"/>
    <w:uiPriority w:val="99"/>
    <w:qFormat/>
    <w:rsid w:val="00BC3D9A"/>
    <w:pPr>
      <w:pageBreakBefore/>
      <w:overflowPunct w:val="0"/>
      <w:autoSpaceDE w:val="0"/>
      <w:autoSpaceDN w:val="0"/>
      <w:adjustRightInd w:val="0"/>
      <w:spacing w:after="0" w:line="240" w:lineRule="auto"/>
      <w:textAlignment w:val="baseline"/>
    </w:pPr>
    <w:rPr>
      <w:rFonts w:ascii="Times New Roman" w:eastAsia="Times New Roman" w:hAnsi="Times New Roman" w:cs="Times New Roman"/>
      <w:noProof/>
      <w:sz w:val="36"/>
      <w:szCs w:val="20"/>
      <w:lang w:val="en-GB"/>
    </w:rPr>
  </w:style>
  <w:style w:type="paragraph" w:customStyle="1" w:styleId="CaptionSubtitle">
    <w:name w:val="Caption: Subtitle"/>
    <w:uiPriority w:val="99"/>
    <w:qFormat/>
    <w:rsid w:val="00BC3D9A"/>
    <w:pPr>
      <w:spacing w:after="0" w:line="240" w:lineRule="auto"/>
    </w:pPr>
    <w:rPr>
      <w:rFonts w:ascii="Arial" w:eastAsia="Times New Roman" w:hAnsi="Arial" w:cs="Times New Roman"/>
      <w:noProof/>
      <w:sz w:val="18"/>
      <w:szCs w:val="20"/>
    </w:rPr>
  </w:style>
  <w:style w:type="paragraph" w:customStyle="1" w:styleId="KLegalHeading3">
    <w:name w:val="KLegal Heading 3"/>
    <w:basedOn w:val="Normal"/>
    <w:next w:val="Text"/>
    <w:uiPriority w:val="99"/>
    <w:qFormat/>
    <w:rsid w:val="00BC3D9A"/>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BC3D9A"/>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BC3D9A"/>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BC3D9A"/>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BC3D9A"/>
    <w:rPr>
      <w:rFonts w:ascii="Times Armenian" w:hAnsi="Times Armenian"/>
      <w:b/>
      <w:bCs/>
      <w:sz w:val="24"/>
      <w:szCs w:val="24"/>
      <w:lang w:val="en-GB" w:eastAsia="en-US" w:bidi="ar-SA"/>
    </w:rPr>
  </w:style>
  <w:style w:type="paragraph" w:customStyle="1" w:styleId="font5">
    <w:name w:val="font5"/>
    <w:basedOn w:val="Normal"/>
    <w:uiPriority w:val="99"/>
    <w:qFormat/>
    <w:rsid w:val="00BC3D9A"/>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BC3D9A"/>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BC3D9A"/>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BC3D9A"/>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BC3D9A"/>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BC3D9A"/>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BC3D9A"/>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BC3D9A"/>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BC3D9A"/>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BC3D9A"/>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BC3D9A"/>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BC3D9A"/>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BC3D9A"/>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BC3D9A"/>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BC3D9A"/>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BC3D9A"/>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BC3D9A"/>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BC3D9A"/>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BC3D9A"/>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BC3D9A"/>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BC3D9A"/>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BC3D9A"/>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BC3D9A"/>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BC3D9A"/>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BC3D9A"/>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BC3D9A"/>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BC3D9A"/>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BC3D9A"/>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BC3D9A"/>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BC3D9A"/>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BC3D9A"/>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BC3D9A"/>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BC3D9A"/>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BC3D9A"/>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BC3D9A"/>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BC3D9A"/>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BC3D9A"/>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BC3D9A"/>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BC3D9A"/>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BC3D9A"/>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BC3D9A"/>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BC3D9A"/>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BC3D9A"/>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BC3D9A"/>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BC3D9A"/>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BC3D9A"/>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BC3D9A"/>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BC3D9A"/>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BC3D9A"/>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BC3D9A"/>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BC3D9A"/>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BC3D9A"/>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BC3D9A"/>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BC3D9A"/>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BC3D9A"/>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BC3D9A"/>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BC3D9A"/>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BC3D9A"/>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BC3D9A"/>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BC3D9A"/>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BC3D9A"/>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BC3D9A"/>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BC3D9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BC3D9A"/>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BC3D9A"/>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BC3D9A"/>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BC3D9A"/>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BC3D9A"/>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BC3D9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BC3D9A"/>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BC3D9A"/>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BC3D9A"/>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BC3D9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BC3D9A"/>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BC3D9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BC3D9A"/>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BC3D9A"/>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BC3D9A"/>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BC3D9A"/>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BC3D9A"/>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BC3D9A"/>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BC3D9A"/>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BC3D9A"/>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BC3D9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BC3D9A"/>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BC3D9A"/>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BC3D9A"/>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BC3D9A"/>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BC3D9A"/>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BC3D9A"/>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BC3D9A"/>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BC3D9A"/>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BC3D9A"/>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BC3D9A"/>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BC3D9A"/>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BC3D9A"/>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BC3D9A"/>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BC3D9A"/>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BC3D9A"/>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BC3D9A"/>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BC3D9A"/>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BC3D9A"/>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BC3D9A"/>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BC3D9A"/>
    <w:pPr>
      <w:jc w:val="center"/>
    </w:pPr>
    <w:rPr>
      <w:rFonts w:ascii="Times LatArm" w:hAnsi="Times LatArm"/>
      <w:b/>
      <w:bCs/>
    </w:rPr>
  </w:style>
  <w:style w:type="character" w:customStyle="1" w:styleId="SubtitleChar">
    <w:name w:val="Subtitle Char"/>
    <w:basedOn w:val="DefaultParagraphFont"/>
    <w:uiPriority w:val="11"/>
    <w:rsid w:val="00BC3D9A"/>
    <w:rPr>
      <w:rFonts w:asciiTheme="minorHAnsi" w:eastAsiaTheme="minorEastAsia" w:hAnsiTheme="minorHAnsi"/>
      <w:color w:val="5A5A5A" w:themeColor="text1" w:themeTint="A5"/>
      <w:spacing w:val="15"/>
      <w:sz w:val="22"/>
    </w:rPr>
  </w:style>
  <w:style w:type="paragraph" w:customStyle="1" w:styleId="xl24">
    <w:name w:val="xl24"/>
    <w:basedOn w:val="Normal"/>
    <w:uiPriority w:val="99"/>
    <w:qFormat/>
    <w:rsid w:val="00BC3D9A"/>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BC3D9A"/>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BC3D9A"/>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BC3D9A"/>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BC3D9A"/>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BC3D9A"/>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BC3D9A"/>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BC3D9A"/>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BC3D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BC3D9A"/>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BC3D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BC3D9A"/>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BC3D9A"/>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BC3D9A"/>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BC3D9A"/>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BC3D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BC3D9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BC3D9A"/>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BC3D9A"/>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BC3D9A"/>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BC3D9A"/>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BC3D9A"/>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BC3D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BC3D9A"/>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BC3D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BC3D9A"/>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BC3D9A"/>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BC3D9A"/>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BC3D9A"/>
    <w:pPr>
      <w:spacing w:after="160" w:line="240" w:lineRule="exact"/>
    </w:pPr>
    <w:rPr>
      <w:rFonts w:ascii="Tahoma" w:hAnsi="Tahoma" w:cs="Tahoma"/>
    </w:rPr>
  </w:style>
  <w:style w:type="paragraph" w:customStyle="1" w:styleId="CharCharChar0">
    <w:name w:val="Char Char Char Знак Знак"/>
    <w:basedOn w:val="Normal"/>
    <w:uiPriority w:val="99"/>
    <w:qFormat/>
    <w:rsid w:val="00BC3D9A"/>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BC3D9A"/>
    <w:pPr>
      <w:spacing w:after="160" w:line="240" w:lineRule="exact"/>
    </w:pPr>
    <w:rPr>
      <w:rFonts w:ascii="Arial" w:hAnsi="Arial" w:cs="Arial"/>
      <w:sz w:val="20"/>
      <w:szCs w:val="20"/>
    </w:rPr>
  </w:style>
  <w:style w:type="paragraph" w:customStyle="1" w:styleId="21">
    <w:name w:val="Абзац списка2"/>
    <w:basedOn w:val="Normal"/>
    <w:uiPriority w:val="99"/>
    <w:qFormat/>
    <w:rsid w:val="00BC3D9A"/>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BC3D9A"/>
    <w:pPr>
      <w:spacing w:after="0" w:line="240" w:lineRule="auto"/>
    </w:pPr>
    <w:rPr>
      <w:rFonts w:ascii="Calibri" w:eastAsia="Calibri" w:hAnsi="Calibri" w:cs="Times New Roman"/>
      <w:sz w:val="22"/>
    </w:rPr>
  </w:style>
  <w:style w:type="paragraph" w:styleId="DocumentMap">
    <w:name w:val="Document Map"/>
    <w:basedOn w:val="Normal"/>
    <w:link w:val="DocumentMapChar"/>
    <w:uiPriority w:val="99"/>
    <w:rsid w:val="00BC3D9A"/>
    <w:pPr>
      <w:shd w:val="clear" w:color="auto" w:fill="000080"/>
    </w:pPr>
    <w:rPr>
      <w:rFonts w:ascii="Tahoma" w:hAnsi="Tahoma"/>
      <w:sz w:val="20"/>
      <w:szCs w:val="20"/>
      <w:lang w:val="hy-AM"/>
    </w:rPr>
  </w:style>
  <w:style w:type="character" w:customStyle="1" w:styleId="DocumentMapChar">
    <w:name w:val="Document Map Char"/>
    <w:basedOn w:val="DefaultParagraphFont"/>
    <w:link w:val="DocumentMap"/>
    <w:uiPriority w:val="99"/>
    <w:rsid w:val="00BC3D9A"/>
    <w:rPr>
      <w:rFonts w:ascii="Tahoma" w:eastAsia="Times New Roman" w:hAnsi="Tahoma" w:cs="Times New Roman"/>
      <w:sz w:val="20"/>
      <w:szCs w:val="20"/>
      <w:shd w:val="clear" w:color="auto" w:fill="000080"/>
      <w:lang w:val="hy-AM"/>
    </w:rPr>
  </w:style>
  <w:style w:type="character" w:customStyle="1" w:styleId="CharChar6">
    <w:name w:val="Char Char6"/>
    <w:uiPriority w:val="99"/>
    <w:rsid w:val="00BC3D9A"/>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BC3D9A"/>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BC3D9A"/>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basedOn w:val="BodyTextChar"/>
    <w:link w:val="BodyTextFirstIndent"/>
    <w:uiPriority w:val="99"/>
    <w:rsid w:val="00BC3D9A"/>
    <w:rPr>
      <w:rFonts w:ascii="Calibri" w:eastAsia="Calibri" w:hAnsi="Calibri" w:cs="Times New Roman"/>
      <w:b/>
      <w:i/>
      <w:sz w:val="22"/>
      <w:szCs w:val="20"/>
      <w:lang w:val="hy-AM"/>
    </w:rPr>
  </w:style>
  <w:style w:type="character" w:customStyle="1" w:styleId="apple-style-span">
    <w:name w:val="apple-style-span"/>
    <w:basedOn w:val="DefaultParagraphFont"/>
    <w:uiPriority w:val="99"/>
    <w:rsid w:val="00BC3D9A"/>
  </w:style>
  <w:style w:type="paragraph" w:styleId="TOC4">
    <w:name w:val="toc 4"/>
    <w:basedOn w:val="Normal"/>
    <w:next w:val="Normal"/>
    <w:autoRedefine/>
    <w:uiPriority w:val="99"/>
    <w:rsid w:val="00BC3D9A"/>
    <w:pPr>
      <w:ind w:left="720"/>
    </w:pPr>
    <w:rPr>
      <w:rFonts w:ascii="Times New Roman" w:hAnsi="Times New Roman"/>
      <w:noProof/>
      <w:sz w:val="18"/>
      <w:szCs w:val="18"/>
      <w:lang w:val="hy-AM"/>
    </w:rPr>
  </w:style>
  <w:style w:type="paragraph" w:styleId="TOC5">
    <w:name w:val="toc 5"/>
    <w:basedOn w:val="Normal"/>
    <w:next w:val="Normal"/>
    <w:autoRedefine/>
    <w:uiPriority w:val="99"/>
    <w:rsid w:val="00BC3D9A"/>
    <w:pPr>
      <w:ind w:left="960"/>
    </w:pPr>
    <w:rPr>
      <w:rFonts w:ascii="Times New Roman" w:hAnsi="Times New Roman"/>
      <w:noProof/>
      <w:sz w:val="18"/>
      <w:szCs w:val="18"/>
      <w:lang w:val="hy-AM"/>
    </w:rPr>
  </w:style>
  <w:style w:type="paragraph" w:styleId="TOC6">
    <w:name w:val="toc 6"/>
    <w:basedOn w:val="Normal"/>
    <w:next w:val="Normal"/>
    <w:autoRedefine/>
    <w:uiPriority w:val="99"/>
    <w:rsid w:val="00BC3D9A"/>
    <w:pPr>
      <w:ind w:left="1200"/>
    </w:pPr>
    <w:rPr>
      <w:rFonts w:ascii="Times New Roman" w:hAnsi="Times New Roman"/>
      <w:noProof/>
      <w:sz w:val="18"/>
      <w:szCs w:val="18"/>
      <w:lang w:val="hy-AM"/>
    </w:rPr>
  </w:style>
  <w:style w:type="paragraph" w:styleId="TOC7">
    <w:name w:val="toc 7"/>
    <w:basedOn w:val="Normal"/>
    <w:next w:val="Normal"/>
    <w:autoRedefine/>
    <w:uiPriority w:val="99"/>
    <w:rsid w:val="00BC3D9A"/>
    <w:pPr>
      <w:ind w:left="1440"/>
    </w:pPr>
    <w:rPr>
      <w:rFonts w:ascii="Times New Roman" w:hAnsi="Times New Roman"/>
      <w:noProof/>
      <w:sz w:val="18"/>
      <w:szCs w:val="18"/>
      <w:lang w:val="hy-AM"/>
    </w:rPr>
  </w:style>
  <w:style w:type="paragraph" w:styleId="TOC8">
    <w:name w:val="toc 8"/>
    <w:basedOn w:val="Normal"/>
    <w:next w:val="Normal"/>
    <w:autoRedefine/>
    <w:uiPriority w:val="99"/>
    <w:rsid w:val="00BC3D9A"/>
    <w:pPr>
      <w:ind w:left="1680"/>
    </w:pPr>
    <w:rPr>
      <w:rFonts w:ascii="Times New Roman" w:hAnsi="Times New Roman"/>
      <w:noProof/>
      <w:sz w:val="18"/>
      <w:szCs w:val="18"/>
      <w:lang w:val="hy-AM"/>
    </w:rPr>
  </w:style>
  <w:style w:type="paragraph" w:styleId="TOC9">
    <w:name w:val="toc 9"/>
    <w:basedOn w:val="Normal"/>
    <w:next w:val="Normal"/>
    <w:autoRedefine/>
    <w:uiPriority w:val="99"/>
    <w:rsid w:val="00BC3D9A"/>
    <w:pPr>
      <w:ind w:left="1920"/>
    </w:pPr>
    <w:rPr>
      <w:rFonts w:ascii="Times New Roman" w:hAnsi="Times New Roman"/>
      <w:noProof/>
      <w:sz w:val="18"/>
      <w:szCs w:val="18"/>
      <w:lang w:val="hy-AM"/>
    </w:rPr>
  </w:style>
  <w:style w:type="paragraph" w:customStyle="1" w:styleId="book-title">
    <w:name w:val="book-title"/>
    <w:basedOn w:val="Normal"/>
    <w:uiPriority w:val="99"/>
    <w:qFormat/>
    <w:rsid w:val="00BC3D9A"/>
    <w:pPr>
      <w:spacing w:before="100" w:beforeAutospacing="1" w:after="100" w:afterAutospacing="1"/>
    </w:pPr>
    <w:rPr>
      <w:rFonts w:ascii="Times New Roman" w:hAnsi="Times New Roman"/>
    </w:rPr>
  </w:style>
  <w:style w:type="character" w:customStyle="1" w:styleId="BalloonTextChar1">
    <w:name w:val="Balloon Text Char1"/>
    <w:uiPriority w:val="99"/>
    <w:locked/>
    <w:rsid w:val="00BC3D9A"/>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BC3D9A"/>
    <w:pPr>
      <w:spacing w:after="160" w:line="240" w:lineRule="exact"/>
    </w:pPr>
    <w:rPr>
      <w:rFonts w:ascii="Arial" w:hAnsi="Arial" w:cs="Arial"/>
      <w:sz w:val="20"/>
      <w:szCs w:val="20"/>
    </w:rPr>
  </w:style>
  <w:style w:type="character" w:customStyle="1" w:styleId="a3">
    <w:name w:val="Основной текст_"/>
    <w:link w:val="13"/>
    <w:uiPriority w:val="99"/>
    <w:rsid w:val="00BC3D9A"/>
    <w:rPr>
      <w:rFonts w:ascii="Tahoma" w:eastAsia="Tahoma" w:hAnsi="Tahoma"/>
      <w:sz w:val="19"/>
      <w:szCs w:val="19"/>
      <w:shd w:val="clear" w:color="auto" w:fill="FFFFFF"/>
    </w:rPr>
  </w:style>
  <w:style w:type="paragraph" w:customStyle="1" w:styleId="13">
    <w:name w:val="Основной текст1"/>
    <w:basedOn w:val="Normal"/>
    <w:link w:val="a3"/>
    <w:uiPriority w:val="99"/>
    <w:qFormat/>
    <w:rsid w:val="00BC3D9A"/>
    <w:pPr>
      <w:shd w:val="clear" w:color="auto" w:fill="FFFFFF"/>
      <w:spacing w:line="0" w:lineRule="atLeast"/>
      <w:ind w:hanging="360"/>
    </w:pPr>
    <w:rPr>
      <w:rFonts w:ascii="Tahoma" w:eastAsia="Tahoma" w:hAnsi="Tahoma" w:cstheme="minorBidi"/>
      <w:sz w:val="19"/>
      <w:szCs w:val="19"/>
      <w:shd w:val="clear" w:color="auto" w:fill="FFFFFF"/>
    </w:rPr>
  </w:style>
  <w:style w:type="paragraph" w:customStyle="1" w:styleId="yiv1819130750msonormal">
    <w:name w:val="yiv1819130750msonormal"/>
    <w:basedOn w:val="Normal"/>
    <w:uiPriority w:val="99"/>
    <w:qFormat/>
    <w:rsid w:val="00BC3D9A"/>
    <w:pPr>
      <w:spacing w:before="100" w:beforeAutospacing="1" w:after="100" w:afterAutospacing="1"/>
    </w:pPr>
    <w:rPr>
      <w:rFonts w:ascii="Times New Roman" w:hAnsi="Times New Roman"/>
      <w:lang w:bidi="th-TH"/>
    </w:rPr>
  </w:style>
  <w:style w:type="character" w:customStyle="1" w:styleId="hps">
    <w:name w:val="hps"/>
    <w:uiPriority w:val="99"/>
    <w:rsid w:val="00BC3D9A"/>
  </w:style>
  <w:style w:type="paragraph" w:customStyle="1" w:styleId="NoSpacing1">
    <w:name w:val="No Spacing1"/>
    <w:uiPriority w:val="99"/>
    <w:qFormat/>
    <w:rsid w:val="00BC3D9A"/>
    <w:pPr>
      <w:spacing w:after="0" w:line="240" w:lineRule="auto"/>
    </w:pPr>
    <w:rPr>
      <w:rFonts w:ascii="Times New Roman" w:eastAsia="Calibri" w:hAnsi="Times New Roman" w:cs="Times New Roman"/>
      <w:szCs w:val="24"/>
      <w:lang w:eastAsia="en-GB"/>
    </w:rPr>
  </w:style>
  <w:style w:type="character" w:customStyle="1" w:styleId="NoSpacingChar">
    <w:name w:val="No Spacing Char"/>
    <w:link w:val="NoSpacing"/>
    <w:uiPriority w:val="1"/>
    <w:locked/>
    <w:rsid w:val="00BC3D9A"/>
    <w:rPr>
      <w:rFonts w:ascii="Calibri" w:eastAsia="Calibri" w:hAnsi="Calibri" w:cs="Times New Roman"/>
      <w:sz w:val="22"/>
    </w:rPr>
  </w:style>
  <w:style w:type="paragraph" w:styleId="Index1">
    <w:name w:val="index 1"/>
    <w:basedOn w:val="Normal"/>
    <w:next w:val="Normal"/>
    <w:autoRedefine/>
    <w:uiPriority w:val="99"/>
    <w:rsid w:val="00BC3D9A"/>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BC3D9A"/>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BC3D9A"/>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BC3D9A"/>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BC3D9A"/>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BC3D9A"/>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BC3D9A"/>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BC3D9A"/>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BC3D9A"/>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BC3D9A"/>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BC3D9A"/>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basedOn w:val="DefaultParagraphFont"/>
    <w:link w:val="IntenseQuote"/>
    <w:uiPriority w:val="99"/>
    <w:rsid w:val="00BC3D9A"/>
    <w:rPr>
      <w:rFonts w:ascii="Calibri" w:eastAsia="Times New Roman" w:hAnsi="Calibri" w:cs="Times New Roman"/>
      <w:b/>
      <w:bCs/>
      <w:i/>
      <w:iCs/>
      <w:color w:val="244061"/>
      <w:sz w:val="22"/>
    </w:rPr>
  </w:style>
  <w:style w:type="character" w:customStyle="1" w:styleId="st">
    <w:name w:val="st"/>
    <w:uiPriority w:val="99"/>
    <w:rsid w:val="00BC3D9A"/>
    <w:rPr>
      <w:rFonts w:cs="Times New Roman"/>
    </w:rPr>
  </w:style>
  <w:style w:type="table" w:customStyle="1" w:styleId="MediumShading1-Accent11">
    <w:name w:val="Medium Shading 1 - Accent 11"/>
    <w:uiPriority w:val="99"/>
    <w:rsid w:val="00BC3D9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BC3D9A"/>
    <w:rPr>
      <w:rFonts w:ascii="Courier New" w:eastAsia="Times New Roman" w:hAnsi="Courier New" w:cs="Times New Roman"/>
      <w:sz w:val="20"/>
      <w:szCs w:val="20"/>
    </w:rPr>
  </w:style>
  <w:style w:type="paragraph" w:customStyle="1" w:styleId="yiv5976168221msonormal">
    <w:name w:val="yiv5976168221msonormal"/>
    <w:basedOn w:val="Normal"/>
    <w:uiPriority w:val="99"/>
    <w:qFormat/>
    <w:rsid w:val="00BC3D9A"/>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BC3D9A"/>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BC3D9A"/>
    <w:rPr>
      <w:rFonts w:ascii="Arial Armenian" w:hAnsi="Arial Armenian" w:cs="Times New Roman"/>
      <w:sz w:val="20"/>
      <w:szCs w:val="20"/>
    </w:rPr>
  </w:style>
  <w:style w:type="numbering" w:customStyle="1" w:styleId="Style1">
    <w:name w:val="Style1"/>
    <w:rsid w:val="00BC3D9A"/>
    <w:pPr>
      <w:numPr>
        <w:numId w:val="4"/>
      </w:numPr>
    </w:pPr>
  </w:style>
  <w:style w:type="paragraph" w:customStyle="1" w:styleId="22">
    <w:name w:val="???????? ????? ? ???????? 2"/>
    <w:basedOn w:val="a0"/>
    <w:uiPriority w:val="99"/>
    <w:qFormat/>
    <w:rsid w:val="00BC3D9A"/>
    <w:pPr>
      <w:ind w:right="-141" w:firstLine="567"/>
      <w:jc w:val="both"/>
    </w:pPr>
    <w:rPr>
      <w:rFonts w:ascii="Times Armenian" w:hAnsi="Times Armenian"/>
      <w:lang w:val="ru-RU"/>
    </w:rPr>
  </w:style>
  <w:style w:type="paragraph" w:customStyle="1" w:styleId="BankNormal">
    <w:name w:val="BankNormal"/>
    <w:basedOn w:val="Normal"/>
    <w:uiPriority w:val="99"/>
    <w:qFormat/>
    <w:rsid w:val="00BC3D9A"/>
    <w:pPr>
      <w:spacing w:after="240"/>
    </w:pPr>
    <w:rPr>
      <w:rFonts w:ascii="Times New Roman" w:hAnsi="Times New Roman"/>
      <w:szCs w:val="20"/>
    </w:rPr>
  </w:style>
  <w:style w:type="paragraph" w:customStyle="1" w:styleId="Einrckung1">
    <w:name w:val="Einrückung 1"/>
    <w:basedOn w:val="Normal"/>
    <w:uiPriority w:val="99"/>
    <w:qFormat/>
    <w:rsid w:val="00BC3D9A"/>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BC3D9A"/>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BC3D9A"/>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BC3D9A"/>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BC3D9A"/>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BC3D9A"/>
    <w:rPr>
      <w:rFonts w:ascii="Times New Roman" w:eastAsia="Times New Roman" w:hAnsi="Times New Roman" w:cs="Times New Roman"/>
      <w:noProof/>
      <w:sz w:val="20"/>
      <w:szCs w:val="20"/>
      <w:lang w:val="hy-AM"/>
    </w:rPr>
  </w:style>
  <w:style w:type="character" w:customStyle="1" w:styleId="TitleChar1">
    <w:name w:val="Title Char1"/>
    <w:link w:val="Title"/>
    <w:uiPriority w:val="10"/>
    <w:rsid w:val="00BC3D9A"/>
    <w:rPr>
      <w:rFonts w:ascii="Arial Armenian" w:eastAsia="Times New Roman" w:hAnsi="Arial Armenian" w:cs="Times New Roman"/>
      <w:b/>
      <w:noProof/>
      <w:sz w:val="28"/>
      <w:szCs w:val="20"/>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BC3D9A"/>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BC3D9A"/>
    <w:pPr>
      <w:spacing w:after="160" w:line="240" w:lineRule="exact"/>
    </w:pPr>
    <w:rPr>
      <w:rFonts w:ascii="Arial" w:hAnsi="Arial" w:cs="Arial"/>
      <w:sz w:val="20"/>
      <w:szCs w:val="20"/>
    </w:rPr>
  </w:style>
  <w:style w:type="paragraph" w:customStyle="1" w:styleId="ZchnZchn14">
    <w:name w:val="Zchn Zchn14"/>
    <w:basedOn w:val="Normal"/>
    <w:uiPriority w:val="99"/>
    <w:qFormat/>
    <w:rsid w:val="00BC3D9A"/>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BC3D9A"/>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BC3D9A"/>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BC3D9A"/>
    <w:pPr>
      <w:spacing w:after="160" w:line="240" w:lineRule="exact"/>
    </w:pPr>
    <w:rPr>
      <w:rFonts w:ascii="Arial" w:hAnsi="Arial" w:cs="Arial"/>
      <w:sz w:val="20"/>
      <w:szCs w:val="20"/>
    </w:rPr>
  </w:style>
  <w:style w:type="paragraph" w:customStyle="1" w:styleId="14">
    <w:name w:val="Знак Знак14"/>
    <w:basedOn w:val="Normal"/>
    <w:uiPriority w:val="99"/>
    <w:qFormat/>
    <w:rsid w:val="00BC3D9A"/>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BC3D9A"/>
    <w:rPr>
      <w:rFonts w:ascii="Sylfaen" w:hAnsi="Sylfaen"/>
      <w:color w:val="auto"/>
    </w:rPr>
  </w:style>
  <w:style w:type="paragraph" w:customStyle="1" w:styleId="24">
    <w:name w:val="Знак Знак24"/>
    <w:basedOn w:val="Normal"/>
    <w:uiPriority w:val="99"/>
    <w:qFormat/>
    <w:rsid w:val="00BC3D9A"/>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BC3D9A"/>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BC3D9A"/>
    <w:pPr>
      <w:spacing w:after="160" w:line="240" w:lineRule="exact"/>
    </w:pPr>
    <w:rPr>
      <w:rFonts w:ascii="Arial" w:hAnsi="Arial" w:cs="Arial"/>
      <w:sz w:val="20"/>
      <w:szCs w:val="20"/>
    </w:rPr>
  </w:style>
  <w:style w:type="character" w:customStyle="1" w:styleId="CharChar12">
    <w:name w:val="Char Char12"/>
    <w:uiPriority w:val="99"/>
    <w:semiHidden/>
    <w:locked/>
    <w:rsid w:val="00BC3D9A"/>
    <w:rPr>
      <w:rFonts w:ascii="Times New Roman" w:eastAsia="Times New Roman" w:hAnsi="Times New Roman" w:cs="Times New Roman"/>
      <w:noProof/>
      <w:sz w:val="24"/>
      <w:szCs w:val="24"/>
      <w:lang w:val="hy-AM"/>
    </w:rPr>
  </w:style>
  <w:style w:type="character" w:customStyle="1" w:styleId="Char2">
    <w:name w:val="Char2"/>
    <w:uiPriority w:val="99"/>
    <w:rsid w:val="00BC3D9A"/>
    <w:rPr>
      <w:rFonts w:ascii="Times Armenian" w:hAnsi="Times Armenian" w:hint="default"/>
      <w:sz w:val="22"/>
      <w:lang w:val="en-GB" w:eastAsia="en-US" w:bidi="ar-SA"/>
    </w:rPr>
  </w:style>
  <w:style w:type="character" w:customStyle="1" w:styleId="CharChar64">
    <w:name w:val="Char Char64"/>
    <w:uiPriority w:val="99"/>
    <w:rsid w:val="00BC3D9A"/>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BC3D9A"/>
    <w:rPr>
      <w:rFonts w:ascii="Times Armenian" w:hAnsi="Times Armenian" w:hint="default"/>
      <w:noProof/>
      <w:sz w:val="24"/>
      <w:szCs w:val="24"/>
      <w:lang w:val="hy-AM" w:eastAsia="en-US" w:bidi="ar-SA"/>
    </w:rPr>
  </w:style>
  <w:style w:type="character" w:customStyle="1" w:styleId="CharChar44">
    <w:name w:val="Char Char44"/>
    <w:uiPriority w:val="99"/>
    <w:rsid w:val="00BC3D9A"/>
    <w:rPr>
      <w:noProof/>
      <w:lang w:val="hy-AM" w:eastAsia="en-US" w:bidi="ar-SA"/>
    </w:rPr>
  </w:style>
  <w:style w:type="character" w:customStyle="1" w:styleId="DefaultChar">
    <w:name w:val="Default Char"/>
    <w:link w:val="Default"/>
    <w:uiPriority w:val="99"/>
    <w:rsid w:val="00BC3D9A"/>
    <w:rPr>
      <w:rFonts w:ascii="Warnock Pro" w:eastAsia="Times New Roman" w:hAnsi="Warnock Pro" w:cs="Times New Roman"/>
      <w:color w:val="000000"/>
      <w:szCs w:val="24"/>
    </w:rPr>
  </w:style>
  <w:style w:type="character" w:customStyle="1" w:styleId="SubtitleChar1">
    <w:name w:val="Subtitle Char1"/>
    <w:link w:val="Subtitle"/>
    <w:uiPriority w:val="11"/>
    <w:locked/>
    <w:rsid w:val="00BC3D9A"/>
    <w:rPr>
      <w:rFonts w:ascii="Times LatArm" w:eastAsia="Times New Roman" w:hAnsi="Times LatArm" w:cs="Times New Roman"/>
      <w:b/>
      <w:bCs/>
      <w:szCs w:val="24"/>
    </w:rPr>
  </w:style>
  <w:style w:type="paragraph" w:styleId="Revision">
    <w:name w:val="Revision"/>
    <w:hidden/>
    <w:uiPriority w:val="99"/>
    <w:semiHidden/>
    <w:rsid w:val="00BC3D9A"/>
    <w:pPr>
      <w:spacing w:after="0" w:line="240" w:lineRule="auto"/>
    </w:pPr>
    <w:rPr>
      <w:rFonts w:ascii="Times New Roman" w:eastAsia="Times New Roman" w:hAnsi="Times New Roman" w:cs="Times New Roman"/>
      <w:noProof/>
      <w:szCs w:val="24"/>
      <w:lang w:val="hy-AM"/>
    </w:rPr>
  </w:style>
  <w:style w:type="paragraph" w:customStyle="1" w:styleId="CharCharCharChar4">
    <w:name w:val="Char Char Char Char4"/>
    <w:basedOn w:val="Normal"/>
    <w:uiPriority w:val="99"/>
    <w:qFormat/>
    <w:rsid w:val="00BC3D9A"/>
    <w:pPr>
      <w:spacing w:after="160" w:line="240" w:lineRule="exact"/>
    </w:pPr>
    <w:rPr>
      <w:rFonts w:ascii="Arial" w:hAnsi="Arial" w:cs="Arial"/>
      <w:sz w:val="20"/>
      <w:szCs w:val="20"/>
    </w:rPr>
  </w:style>
  <w:style w:type="paragraph" w:customStyle="1" w:styleId="HD1">
    <w:name w:val="HD1"/>
    <w:basedOn w:val="Normal"/>
    <w:uiPriority w:val="99"/>
    <w:qFormat/>
    <w:rsid w:val="00BC3D9A"/>
    <w:rPr>
      <w:rFonts w:ascii="Trebuchet MS" w:eastAsia="MS Mincho" w:hAnsi="Trebuchet MS"/>
      <w:b/>
      <w:color w:val="003776"/>
    </w:rPr>
  </w:style>
  <w:style w:type="paragraph" w:customStyle="1" w:styleId="rmcvptur">
    <w:name w:val="rmcvptur"/>
    <w:basedOn w:val="Normal"/>
    <w:uiPriority w:val="99"/>
    <w:qFormat/>
    <w:rsid w:val="00BC3D9A"/>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BC3D9A"/>
    <w:pPr>
      <w:spacing w:before="100" w:beforeAutospacing="1" w:after="100" w:afterAutospacing="1"/>
    </w:pPr>
    <w:rPr>
      <w:rFonts w:ascii="Times New Roman" w:eastAsia="MS Mincho" w:hAnsi="Times New Roman"/>
    </w:rPr>
  </w:style>
  <w:style w:type="character" w:customStyle="1" w:styleId="CharChar23">
    <w:name w:val="Char Char23"/>
    <w:uiPriority w:val="99"/>
    <w:rsid w:val="00BC3D9A"/>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BC3D9A"/>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BC3D9A"/>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BC3D9A"/>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BC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basedOn w:val="DefaultParagraphFont"/>
    <w:link w:val="HTMLPreformatted"/>
    <w:uiPriority w:val="99"/>
    <w:rsid w:val="00BC3D9A"/>
    <w:rPr>
      <w:rFonts w:ascii="Courier New" w:eastAsia="Times New Roman" w:hAnsi="Courier New" w:cs="Times New Roman"/>
      <w:sz w:val="20"/>
      <w:szCs w:val="20"/>
      <w:lang w:val="hy-AM"/>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BC3D9A"/>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BC3D9A"/>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BC3D9A"/>
    <w:pPr>
      <w:tabs>
        <w:tab w:val="left" w:pos="709"/>
      </w:tabs>
    </w:pPr>
    <w:rPr>
      <w:rFonts w:ascii="Tahoma" w:hAnsi="Tahoma"/>
      <w:lang w:val="pl-PL" w:eastAsia="pl-PL"/>
    </w:rPr>
  </w:style>
  <w:style w:type="paragraph" w:customStyle="1" w:styleId="ListParagraph11">
    <w:name w:val="List Paragraph11"/>
    <w:basedOn w:val="Normal"/>
    <w:uiPriority w:val="99"/>
    <w:qFormat/>
    <w:rsid w:val="00BC3D9A"/>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BC3D9A"/>
    <w:rPr>
      <w:rFonts w:ascii="Times New Roman" w:eastAsia="SimSun" w:hAnsi="Times New Roman"/>
      <w:sz w:val="20"/>
      <w:szCs w:val="20"/>
      <w:lang w:eastAsia="ru-RU"/>
    </w:rPr>
  </w:style>
  <w:style w:type="paragraph" w:customStyle="1" w:styleId="Znak1">
    <w:name w:val="Znak1"/>
    <w:basedOn w:val="Normal"/>
    <w:uiPriority w:val="99"/>
    <w:qFormat/>
    <w:rsid w:val="00BC3D9A"/>
    <w:pPr>
      <w:tabs>
        <w:tab w:val="left" w:pos="709"/>
      </w:tabs>
    </w:pPr>
    <w:rPr>
      <w:rFonts w:ascii="Tahoma" w:hAnsi="Tahoma"/>
      <w:lang w:val="pl-PL" w:eastAsia="pl-PL"/>
    </w:rPr>
  </w:style>
  <w:style w:type="paragraph" w:customStyle="1" w:styleId="Char3">
    <w:name w:val="Char3"/>
    <w:basedOn w:val="Normal"/>
    <w:uiPriority w:val="99"/>
    <w:qFormat/>
    <w:locked/>
    <w:rsid w:val="00BC3D9A"/>
    <w:pPr>
      <w:spacing w:after="160"/>
    </w:pPr>
    <w:rPr>
      <w:rFonts w:ascii="Verdana" w:eastAsia="Batang" w:hAnsi="Verdana" w:cs="Verdana"/>
    </w:rPr>
  </w:style>
  <w:style w:type="character" w:customStyle="1" w:styleId="CharChar183">
    <w:name w:val="Char Char183"/>
    <w:uiPriority w:val="99"/>
    <w:rsid w:val="00BC3D9A"/>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BC3D9A"/>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BC3D9A"/>
    <w:pPr>
      <w:spacing w:after="160" w:line="240" w:lineRule="exact"/>
    </w:pPr>
    <w:rPr>
      <w:rFonts w:ascii="Arial" w:hAnsi="Arial" w:cs="Arial"/>
      <w:sz w:val="20"/>
      <w:szCs w:val="20"/>
    </w:rPr>
  </w:style>
  <w:style w:type="paragraph" w:customStyle="1" w:styleId="ZchnZchn11">
    <w:name w:val="Zchn Zchn11"/>
    <w:basedOn w:val="Normal"/>
    <w:uiPriority w:val="99"/>
    <w:qFormat/>
    <w:rsid w:val="00BC3D9A"/>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BC3D9A"/>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BC3D9A"/>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BC3D9A"/>
    <w:pPr>
      <w:spacing w:after="160" w:line="240" w:lineRule="exact"/>
    </w:pPr>
    <w:rPr>
      <w:rFonts w:ascii="Arial" w:hAnsi="Arial" w:cs="Arial"/>
      <w:sz w:val="20"/>
      <w:szCs w:val="20"/>
    </w:rPr>
  </w:style>
  <w:style w:type="paragraph" w:customStyle="1" w:styleId="110">
    <w:name w:val="Знак Знак11"/>
    <w:basedOn w:val="Normal"/>
    <w:uiPriority w:val="99"/>
    <w:qFormat/>
    <w:rsid w:val="00BC3D9A"/>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BC3D9A"/>
    <w:rPr>
      <w:rFonts w:ascii="Sylfaen" w:hAnsi="Sylfaen"/>
      <w:color w:val="auto"/>
    </w:rPr>
  </w:style>
  <w:style w:type="paragraph" w:customStyle="1" w:styleId="210">
    <w:name w:val="Знак Знак21"/>
    <w:basedOn w:val="Normal"/>
    <w:uiPriority w:val="99"/>
    <w:qFormat/>
    <w:rsid w:val="00BC3D9A"/>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BC3D9A"/>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BC3D9A"/>
    <w:pPr>
      <w:spacing w:after="160" w:line="240" w:lineRule="exact"/>
    </w:pPr>
    <w:rPr>
      <w:rFonts w:ascii="Arial" w:hAnsi="Arial" w:cs="Arial"/>
      <w:sz w:val="20"/>
      <w:szCs w:val="20"/>
    </w:rPr>
  </w:style>
  <w:style w:type="character" w:customStyle="1" w:styleId="CharChar123">
    <w:name w:val="Char Char123"/>
    <w:uiPriority w:val="99"/>
    <w:semiHidden/>
    <w:locked/>
    <w:rsid w:val="00BC3D9A"/>
    <w:rPr>
      <w:rFonts w:ascii="Times New Roman" w:eastAsia="Times New Roman" w:hAnsi="Times New Roman" w:cs="Times New Roman"/>
      <w:noProof/>
      <w:sz w:val="24"/>
      <w:szCs w:val="24"/>
      <w:lang w:val="hy-AM"/>
    </w:rPr>
  </w:style>
  <w:style w:type="character" w:customStyle="1" w:styleId="CharChar61">
    <w:name w:val="Char Char61"/>
    <w:uiPriority w:val="99"/>
    <w:rsid w:val="00BC3D9A"/>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BC3D9A"/>
    <w:rPr>
      <w:rFonts w:ascii="Times Armenian" w:hAnsi="Times Armenian" w:hint="default"/>
      <w:noProof/>
      <w:sz w:val="24"/>
      <w:szCs w:val="24"/>
      <w:lang w:val="hy-AM" w:eastAsia="en-US" w:bidi="ar-SA"/>
    </w:rPr>
  </w:style>
  <w:style w:type="character" w:customStyle="1" w:styleId="CharChar41">
    <w:name w:val="Char Char41"/>
    <w:uiPriority w:val="99"/>
    <w:rsid w:val="00BC3D9A"/>
    <w:rPr>
      <w:noProof/>
      <w:lang w:val="hy-AM" w:eastAsia="en-US" w:bidi="ar-SA"/>
    </w:rPr>
  </w:style>
  <w:style w:type="paragraph" w:customStyle="1" w:styleId="CharCharCharChar1">
    <w:name w:val="Char Char Char Char1"/>
    <w:basedOn w:val="Normal"/>
    <w:uiPriority w:val="99"/>
    <w:qFormat/>
    <w:rsid w:val="00BC3D9A"/>
    <w:pPr>
      <w:spacing w:after="160" w:line="240" w:lineRule="exact"/>
    </w:pPr>
    <w:rPr>
      <w:rFonts w:ascii="Arial" w:hAnsi="Arial" w:cs="Arial"/>
      <w:sz w:val="20"/>
      <w:szCs w:val="20"/>
    </w:rPr>
  </w:style>
  <w:style w:type="character" w:customStyle="1" w:styleId="CharChar233">
    <w:name w:val="Char Char233"/>
    <w:uiPriority w:val="99"/>
    <w:rsid w:val="00BC3D9A"/>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BC3D9A"/>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BC3D9A"/>
    <w:pPr>
      <w:widowControl w:val="0"/>
      <w:spacing w:line="248" w:lineRule="atLeast"/>
    </w:pPr>
    <w:rPr>
      <w:rFonts w:ascii="Arial Armenian" w:hAnsi="Arial Armenian"/>
      <w:color w:val="auto"/>
    </w:rPr>
  </w:style>
  <w:style w:type="character" w:customStyle="1" w:styleId="FontStyle37">
    <w:name w:val="Font Style37"/>
    <w:uiPriority w:val="99"/>
    <w:rsid w:val="00BC3D9A"/>
    <w:rPr>
      <w:rFonts w:ascii="Sylfaen" w:hAnsi="Sylfaen" w:cs="Sylfaen"/>
      <w:sz w:val="22"/>
      <w:szCs w:val="22"/>
    </w:rPr>
  </w:style>
  <w:style w:type="character" w:customStyle="1" w:styleId="apple-tab-span">
    <w:name w:val="apple-tab-span"/>
    <w:uiPriority w:val="99"/>
    <w:rsid w:val="00BC3D9A"/>
  </w:style>
  <w:style w:type="paragraph" w:customStyle="1" w:styleId="Style10">
    <w:name w:val="Style10"/>
    <w:basedOn w:val="Normal"/>
    <w:uiPriority w:val="99"/>
    <w:qFormat/>
    <w:rsid w:val="00BC3D9A"/>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BC3D9A"/>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BC3D9A"/>
    <w:pPr>
      <w:widowControl w:val="0"/>
      <w:shd w:val="clear" w:color="auto" w:fill="FFFFFF"/>
      <w:spacing w:before="220" w:after="220" w:line="370" w:lineRule="exact"/>
      <w:ind w:hanging="360"/>
      <w:jc w:val="both"/>
    </w:pPr>
    <w:rPr>
      <w:rFonts w:ascii="Sylfaen" w:eastAsia="Sylfaen" w:hAnsi="Sylfaen" w:cs="Sylfaen"/>
      <w:spacing w:val="20"/>
      <w:szCs w:val="22"/>
    </w:rPr>
  </w:style>
  <w:style w:type="character" w:customStyle="1" w:styleId="23">
    <w:name w:val="Основной текст (2)"/>
    <w:uiPriority w:val="99"/>
    <w:rsid w:val="00BC3D9A"/>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BC3D9A"/>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BC3D9A"/>
    <w:rPr>
      <w:rFonts w:ascii="Sylfaen" w:hAnsi="Sylfaen" w:cs="Sylfaen"/>
      <w:spacing w:val="40"/>
      <w:sz w:val="20"/>
      <w:szCs w:val="20"/>
      <w:u w:val="none"/>
      <w:lang w:val="ru-RU" w:eastAsia="ru-RU"/>
    </w:rPr>
  </w:style>
  <w:style w:type="character" w:customStyle="1" w:styleId="PageNumber1">
    <w:name w:val="Page Number1"/>
    <w:uiPriority w:val="99"/>
    <w:rsid w:val="00BC3D9A"/>
  </w:style>
  <w:style w:type="character" w:customStyle="1" w:styleId="25">
    <w:name w:val="Основной текст (2)_"/>
    <w:uiPriority w:val="99"/>
    <w:rsid w:val="00BC3D9A"/>
    <w:rPr>
      <w:rFonts w:ascii="Sylfaen" w:hAnsi="Sylfaen" w:cs="Sylfaen"/>
      <w:i/>
      <w:iCs/>
      <w:shd w:val="clear" w:color="auto" w:fill="FFFFFF"/>
    </w:rPr>
  </w:style>
  <w:style w:type="character" w:customStyle="1" w:styleId="32">
    <w:name w:val="Основной текст (3)_"/>
    <w:uiPriority w:val="99"/>
    <w:rsid w:val="00BC3D9A"/>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BC3D9A"/>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BC3D9A"/>
    <w:rPr>
      <w:rFonts w:ascii="Sylfaen" w:hAnsi="Sylfaen" w:cs="Sylfaen"/>
      <w:spacing w:val="0"/>
      <w:w w:val="100"/>
      <w:sz w:val="22"/>
      <w:szCs w:val="22"/>
      <w:shd w:val="clear" w:color="auto" w:fill="FFFFFF"/>
    </w:rPr>
  </w:style>
  <w:style w:type="character" w:customStyle="1" w:styleId="4">
    <w:name w:val="Основной текст (4)_"/>
    <w:uiPriority w:val="99"/>
    <w:rsid w:val="00BC3D9A"/>
    <w:rPr>
      <w:rFonts w:ascii="Sylfaen" w:hAnsi="Sylfaen" w:cs="Sylfaen"/>
      <w:spacing w:val="20"/>
      <w:w w:val="80"/>
      <w:shd w:val="clear" w:color="auto" w:fill="FFFFFF"/>
    </w:rPr>
  </w:style>
  <w:style w:type="character" w:customStyle="1" w:styleId="4pt">
    <w:name w:val="Основной текст + 4 pt"/>
    <w:uiPriority w:val="99"/>
    <w:rsid w:val="00BC3D9A"/>
    <w:rPr>
      <w:rFonts w:ascii="Sylfaen" w:hAnsi="Sylfaen" w:cs="Sylfaen"/>
      <w:i/>
      <w:iCs/>
      <w:spacing w:val="0"/>
      <w:w w:val="100"/>
      <w:sz w:val="8"/>
      <w:szCs w:val="8"/>
      <w:shd w:val="clear" w:color="auto" w:fill="FFFFFF"/>
    </w:rPr>
  </w:style>
  <w:style w:type="character" w:customStyle="1" w:styleId="15">
    <w:name w:val="Заголовок №1_"/>
    <w:uiPriority w:val="99"/>
    <w:rsid w:val="00BC3D9A"/>
    <w:rPr>
      <w:rFonts w:ascii="Sylfaen" w:hAnsi="Sylfaen" w:cs="Sylfaen"/>
      <w:i/>
      <w:iCs/>
      <w:spacing w:val="-30"/>
      <w:sz w:val="31"/>
      <w:szCs w:val="31"/>
      <w:shd w:val="clear" w:color="auto" w:fill="FFFFFF"/>
    </w:rPr>
  </w:style>
  <w:style w:type="character" w:customStyle="1" w:styleId="111">
    <w:name w:val="Заголовок №1 + 11"/>
    <w:uiPriority w:val="99"/>
    <w:rsid w:val="00BC3D9A"/>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BC3D9A"/>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BC3D9A"/>
    <w:rPr>
      <w:rFonts w:ascii="Sylfaen" w:hAnsi="Sylfaen" w:cs="Sylfaen"/>
      <w:spacing w:val="20"/>
      <w:w w:val="80"/>
      <w:sz w:val="20"/>
      <w:szCs w:val="20"/>
      <w:u w:val="none"/>
      <w:shd w:val="clear" w:color="auto" w:fill="FFFFFF"/>
    </w:rPr>
  </w:style>
  <w:style w:type="character" w:customStyle="1" w:styleId="a5">
    <w:name w:val="Основной текст + Полужирный"/>
    <w:uiPriority w:val="99"/>
    <w:rsid w:val="00BC3D9A"/>
    <w:rPr>
      <w:rFonts w:ascii="Sylfaen" w:hAnsi="Sylfaen" w:cs="Sylfaen"/>
      <w:b/>
      <w:bCs/>
      <w:spacing w:val="20"/>
      <w:w w:val="80"/>
      <w:sz w:val="21"/>
      <w:szCs w:val="21"/>
      <w:u w:val="none"/>
      <w:shd w:val="clear" w:color="auto" w:fill="FFFFFF"/>
    </w:rPr>
  </w:style>
  <w:style w:type="character" w:customStyle="1" w:styleId="shorttext">
    <w:name w:val="short_text"/>
    <w:uiPriority w:val="99"/>
    <w:rsid w:val="00BC3D9A"/>
  </w:style>
  <w:style w:type="character" w:customStyle="1" w:styleId="textexposedshow">
    <w:name w:val="text_exposed_show"/>
    <w:uiPriority w:val="99"/>
    <w:rsid w:val="00BC3D9A"/>
  </w:style>
  <w:style w:type="character" w:customStyle="1" w:styleId="ListLabel1">
    <w:name w:val="ListLabel 1"/>
    <w:uiPriority w:val="99"/>
    <w:rsid w:val="00BC3D9A"/>
    <w:rPr>
      <w:rFonts w:eastAsia="Times New Roman"/>
      <w:color w:val="000000"/>
    </w:rPr>
  </w:style>
  <w:style w:type="character" w:customStyle="1" w:styleId="ListLabel2">
    <w:name w:val="ListLabel 2"/>
    <w:uiPriority w:val="99"/>
    <w:rsid w:val="00BC3D9A"/>
  </w:style>
  <w:style w:type="character" w:customStyle="1" w:styleId="ListLabel3">
    <w:name w:val="ListLabel 3"/>
    <w:uiPriority w:val="99"/>
    <w:rsid w:val="00BC3D9A"/>
  </w:style>
  <w:style w:type="character" w:customStyle="1" w:styleId="ListLabel4">
    <w:name w:val="ListLabel 4"/>
    <w:uiPriority w:val="99"/>
    <w:rsid w:val="00BC3D9A"/>
  </w:style>
  <w:style w:type="character" w:customStyle="1" w:styleId="ListLabel5">
    <w:name w:val="ListLabel 5"/>
    <w:uiPriority w:val="99"/>
    <w:rsid w:val="00BC3D9A"/>
    <w:rPr>
      <w:color w:val="auto"/>
    </w:rPr>
  </w:style>
  <w:style w:type="character" w:customStyle="1" w:styleId="ListLabel6">
    <w:name w:val="ListLabel 6"/>
    <w:uiPriority w:val="99"/>
    <w:rsid w:val="00BC3D9A"/>
    <w:rPr>
      <w:b/>
      <w:bCs/>
      <w:i/>
      <w:iCs/>
    </w:rPr>
  </w:style>
  <w:style w:type="character" w:customStyle="1" w:styleId="ListLabel7">
    <w:name w:val="ListLabel 7"/>
    <w:uiPriority w:val="99"/>
    <w:rsid w:val="00BC3D9A"/>
    <w:rPr>
      <w:sz w:val="24"/>
      <w:szCs w:val="24"/>
    </w:rPr>
  </w:style>
  <w:style w:type="character" w:customStyle="1" w:styleId="ListLabel8">
    <w:name w:val="ListLabel 8"/>
    <w:uiPriority w:val="99"/>
    <w:rsid w:val="00BC3D9A"/>
    <w:rPr>
      <w:rFonts w:eastAsia="Times New Roman"/>
    </w:rPr>
  </w:style>
  <w:style w:type="paragraph" w:customStyle="1" w:styleId="Heading">
    <w:name w:val="Heading"/>
    <w:basedOn w:val="Normal"/>
    <w:next w:val="BodyText"/>
    <w:uiPriority w:val="99"/>
    <w:qFormat/>
    <w:rsid w:val="00BC3D9A"/>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BC3D9A"/>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BC3D9A"/>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BC3D9A"/>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BC3D9A"/>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BC3D9A"/>
    <w:rPr>
      <w:rFonts w:ascii="Calibri" w:eastAsia="Times New Roman" w:hAnsi="Calibri" w:cs="Calibri"/>
      <w:kern w:val="1"/>
      <w:sz w:val="16"/>
      <w:szCs w:val="16"/>
    </w:rPr>
  </w:style>
  <w:style w:type="paragraph" w:customStyle="1" w:styleId="a6">
    <w:name w:val="Стиль Знак"/>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BC3D9A"/>
    <w:pPr>
      <w:suppressAutoHyphens/>
      <w:spacing w:after="0" w:line="240" w:lineRule="auto"/>
    </w:pPr>
    <w:rPr>
      <w:rFonts w:eastAsia="Times New Roman" w:cs="GHEA Grapalat"/>
      <w:kern w:val="1"/>
      <w:sz w:val="22"/>
    </w:rPr>
  </w:style>
  <w:style w:type="paragraph" w:customStyle="1" w:styleId="112">
    <w:name w:val="Без интервала11"/>
    <w:uiPriority w:val="99"/>
    <w:qFormat/>
    <w:rsid w:val="00BC3D9A"/>
    <w:pPr>
      <w:suppressAutoHyphens/>
      <w:spacing w:after="0" w:line="240" w:lineRule="auto"/>
    </w:pPr>
    <w:rPr>
      <w:rFonts w:eastAsia="Times New Roman" w:cs="GHEA Grapalat"/>
      <w:kern w:val="1"/>
      <w:sz w:val="22"/>
    </w:rPr>
  </w:style>
  <w:style w:type="paragraph" w:customStyle="1" w:styleId="Iacaaiea">
    <w:name w:val="Iacaaiea"/>
    <w:basedOn w:val="Normal"/>
    <w:uiPriority w:val="99"/>
    <w:qFormat/>
    <w:rsid w:val="00BC3D9A"/>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BC3D9A"/>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BC3D9A"/>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BC3D9A"/>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BC3D9A"/>
    <w:rPr>
      <w:rFonts w:ascii="Calibri" w:eastAsia="Times New Roman" w:hAnsi="Calibri" w:cs="Calibri"/>
      <w:kern w:val="1"/>
      <w:sz w:val="16"/>
      <w:szCs w:val="16"/>
    </w:rPr>
  </w:style>
  <w:style w:type="paragraph" w:customStyle="1" w:styleId="17">
    <w:name w:val="Заголовок №1"/>
    <w:basedOn w:val="Normal"/>
    <w:uiPriority w:val="99"/>
    <w:qFormat/>
    <w:rsid w:val="00BC3D9A"/>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BC3D9A"/>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BC3D9A"/>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BC3D9A"/>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BC3D9A"/>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BC3D9A"/>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BC3D9A"/>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BC3D9A"/>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BC3D9A"/>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BC3D9A"/>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BC3D9A"/>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BC3D9A"/>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BC3D9A"/>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BC3D9A"/>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BC3D9A"/>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BC3D9A"/>
    <w:rPr>
      <w:rFonts w:ascii="GHEA Mariam" w:eastAsia="Times New Roman" w:hAnsi="GHEA Mariam" w:cs="Times New Roman"/>
      <w:sz w:val="20"/>
      <w:szCs w:val="20"/>
      <w:lang w:val="en-GB" w:eastAsia="ru-RU"/>
    </w:rPr>
  </w:style>
  <w:style w:type="paragraph" w:customStyle="1" w:styleId="BULET">
    <w:name w:val="BULET"/>
    <w:basedOn w:val="text0"/>
    <w:uiPriority w:val="99"/>
    <w:qFormat/>
    <w:rsid w:val="00BC3D9A"/>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BC3D9A"/>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BC3D9A"/>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BC3D9A"/>
    <w:pPr>
      <w:spacing w:after="160" w:line="240" w:lineRule="exact"/>
    </w:pPr>
    <w:rPr>
      <w:rFonts w:ascii="Arial" w:hAnsi="Arial" w:cs="Arial"/>
      <w:sz w:val="20"/>
      <w:szCs w:val="20"/>
    </w:rPr>
  </w:style>
  <w:style w:type="paragraph" w:customStyle="1" w:styleId="BSAPtext">
    <w:name w:val="BSAP text"/>
    <w:basedOn w:val="Normal"/>
    <w:uiPriority w:val="99"/>
    <w:qFormat/>
    <w:rsid w:val="00BC3D9A"/>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BC3D9A"/>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BC3D9A"/>
    <w:pPr>
      <w:spacing w:after="160" w:line="240" w:lineRule="exact"/>
    </w:pPr>
    <w:rPr>
      <w:rFonts w:ascii="Arial" w:hAnsi="Arial" w:cs="Arial"/>
      <w:sz w:val="20"/>
      <w:szCs w:val="20"/>
    </w:rPr>
  </w:style>
  <w:style w:type="character" w:customStyle="1" w:styleId="usercontent">
    <w:name w:val="usercontent"/>
    <w:uiPriority w:val="99"/>
    <w:rsid w:val="00BC3D9A"/>
  </w:style>
  <w:style w:type="paragraph" w:customStyle="1" w:styleId="CharCharCharCharCharCharChar0">
    <w:name w:val="Char Char Char Char Char Знак Знак Char Char Знак Знак"/>
    <w:basedOn w:val="Normal"/>
    <w:uiPriority w:val="99"/>
    <w:qFormat/>
    <w:rsid w:val="00BC3D9A"/>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BC3D9A"/>
    <w:pPr>
      <w:spacing w:after="160" w:line="240" w:lineRule="exact"/>
    </w:pPr>
    <w:rPr>
      <w:rFonts w:ascii="Arial" w:hAnsi="Arial" w:cs="Arial"/>
      <w:sz w:val="20"/>
      <w:szCs w:val="20"/>
    </w:rPr>
  </w:style>
  <w:style w:type="paragraph" w:customStyle="1" w:styleId="NoSpacing2">
    <w:name w:val="No Spacing2"/>
    <w:uiPriority w:val="99"/>
    <w:qFormat/>
    <w:rsid w:val="00BC3D9A"/>
    <w:pPr>
      <w:spacing w:after="0" w:line="240" w:lineRule="auto"/>
    </w:pPr>
    <w:rPr>
      <w:rFonts w:ascii="Arial Armenian" w:eastAsia="Times New Roman" w:hAnsi="Arial Armenian" w:cs="Arial Armenian"/>
      <w:szCs w:val="24"/>
      <w:lang w:val="ru-RU"/>
    </w:rPr>
  </w:style>
  <w:style w:type="paragraph" w:customStyle="1" w:styleId="Standard">
    <w:name w:val="Standard"/>
    <w:uiPriority w:val="99"/>
    <w:qFormat/>
    <w:rsid w:val="00BC3D9A"/>
    <w:pPr>
      <w:widowControl w:val="0"/>
      <w:suppressAutoHyphens/>
      <w:autoSpaceDN w:val="0"/>
      <w:spacing w:after="0" w:line="240" w:lineRule="auto"/>
      <w:textAlignment w:val="baseline"/>
    </w:pPr>
    <w:rPr>
      <w:rFonts w:ascii="Times New Roman" w:eastAsia="Times New Roman" w:hAnsi="Times New Roman" w:cs="Times New Roman"/>
      <w:kern w:val="3"/>
      <w:szCs w:val="24"/>
    </w:rPr>
  </w:style>
  <w:style w:type="character" w:customStyle="1" w:styleId="user-name">
    <w:name w:val="user-name"/>
    <w:uiPriority w:val="99"/>
    <w:rsid w:val="00BC3D9A"/>
  </w:style>
  <w:style w:type="character" w:customStyle="1" w:styleId="SubtleEmphasis1">
    <w:name w:val="Subtle Emphasis1"/>
    <w:uiPriority w:val="99"/>
    <w:qFormat/>
    <w:rsid w:val="00BC3D9A"/>
    <w:rPr>
      <w:i/>
      <w:iCs/>
      <w:color w:val="808080"/>
    </w:rPr>
  </w:style>
  <w:style w:type="paragraph" w:customStyle="1" w:styleId="IntenseQuote1">
    <w:name w:val="Intense Quote1"/>
    <w:basedOn w:val="Normal"/>
    <w:next w:val="Normal"/>
    <w:uiPriority w:val="99"/>
    <w:qFormat/>
    <w:rsid w:val="00BC3D9A"/>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BC3D9A"/>
    <w:pPr>
      <w:spacing w:after="160" w:line="240" w:lineRule="exact"/>
    </w:pPr>
    <w:rPr>
      <w:rFonts w:ascii="Arial" w:hAnsi="Arial" w:cs="Arial"/>
      <w:sz w:val="20"/>
      <w:szCs w:val="20"/>
    </w:rPr>
  </w:style>
  <w:style w:type="paragraph" w:customStyle="1" w:styleId="26">
    <w:name w:val="Без интервала2"/>
    <w:uiPriority w:val="99"/>
    <w:qFormat/>
    <w:rsid w:val="00BC3D9A"/>
    <w:pPr>
      <w:suppressAutoHyphens/>
      <w:spacing w:after="0" w:line="240" w:lineRule="auto"/>
    </w:pPr>
    <w:rPr>
      <w:rFonts w:eastAsia="Times New Roman" w:cs="GHEA Grapalat"/>
      <w:kern w:val="1"/>
      <w:sz w:val="22"/>
    </w:rPr>
  </w:style>
  <w:style w:type="character" w:customStyle="1" w:styleId="5yl5">
    <w:name w:val="_5yl5"/>
    <w:uiPriority w:val="99"/>
    <w:rsid w:val="00BC3D9A"/>
  </w:style>
  <w:style w:type="character" w:customStyle="1" w:styleId="18">
    <w:name w:val="Номер страницы1"/>
    <w:uiPriority w:val="99"/>
    <w:rsid w:val="00BC3D9A"/>
  </w:style>
  <w:style w:type="character" w:customStyle="1" w:styleId="27">
    <w:name w:val="Основной текст2"/>
    <w:uiPriority w:val="99"/>
    <w:rsid w:val="00BC3D9A"/>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BC3D9A"/>
    <w:pPr>
      <w:spacing w:after="0" w:line="240" w:lineRule="auto"/>
    </w:pPr>
    <w:rPr>
      <w:rFonts w:ascii="Times New Roman" w:eastAsia="Times New Roman" w:hAnsi="Times New Roman" w:cs="Times New Roman"/>
      <w:szCs w:val="24"/>
      <w:lang w:val="ru-RU" w:eastAsia="ru-RU"/>
    </w:rPr>
  </w:style>
  <w:style w:type="table" w:styleId="TableWeb1">
    <w:name w:val="Table Web 1"/>
    <w:basedOn w:val="TableNormal"/>
    <w:uiPriority w:val="99"/>
    <w:rsid w:val="00BC3D9A"/>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BC3D9A"/>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BC3D9A"/>
  </w:style>
  <w:style w:type="paragraph" w:customStyle="1" w:styleId="ModelNrmlSingle">
    <w:name w:val="ModelNrmlSingle"/>
    <w:basedOn w:val="Normal"/>
    <w:uiPriority w:val="99"/>
    <w:qFormat/>
    <w:rsid w:val="00BC3D9A"/>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BC3D9A"/>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BC3D9A"/>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BC3D9A"/>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BC3D9A"/>
    <w:rPr>
      <w:rFonts w:ascii="Times New Roman" w:eastAsia="SimSun" w:hAnsi="Times New Roman"/>
      <w:sz w:val="20"/>
      <w:szCs w:val="20"/>
      <w:lang w:eastAsia="ru-RU"/>
    </w:rPr>
  </w:style>
  <w:style w:type="paragraph" w:customStyle="1" w:styleId="Znak2">
    <w:name w:val="Znak2"/>
    <w:basedOn w:val="Normal"/>
    <w:uiPriority w:val="99"/>
    <w:qFormat/>
    <w:rsid w:val="00BC3D9A"/>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BC3D9A"/>
    <w:pPr>
      <w:spacing w:after="160" w:line="240" w:lineRule="exact"/>
    </w:pPr>
    <w:rPr>
      <w:rFonts w:ascii="Arial" w:hAnsi="Arial" w:cs="Arial"/>
      <w:sz w:val="20"/>
      <w:szCs w:val="20"/>
    </w:rPr>
  </w:style>
  <w:style w:type="paragraph" w:customStyle="1" w:styleId="ZchnZchn12">
    <w:name w:val="Zchn Zchn12"/>
    <w:basedOn w:val="Normal"/>
    <w:uiPriority w:val="99"/>
    <w:qFormat/>
    <w:rsid w:val="00BC3D9A"/>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BC3D9A"/>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BC3D9A"/>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BC3D9A"/>
    <w:pPr>
      <w:spacing w:after="160" w:line="240" w:lineRule="exact"/>
    </w:pPr>
    <w:rPr>
      <w:rFonts w:ascii="Arial" w:hAnsi="Arial" w:cs="Arial"/>
      <w:sz w:val="20"/>
      <w:szCs w:val="20"/>
    </w:rPr>
  </w:style>
  <w:style w:type="paragraph" w:customStyle="1" w:styleId="120">
    <w:name w:val="Знак Знак12"/>
    <w:basedOn w:val="Normal"/>
    <w:uiPriority w:val="99"/>
    <w:qFormat/>
    <w:rsid w:val="00BC3D9A"/>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BC3D9A"/>
    <w:rPr>
      <w:rFonts w:ascii="Sylfaen" w:hAnsi="Sylfaen"/>
      <w:color w:val="auto"/>
    </w:rPr>
  </w:style>
  <w:style w:type="paragraph" w:customStyle="1" w:styleId="220">
    <w:name w:val="Знак Знак22"/>
    <w:basedOn w:val="Normal"/>
    <w:uiPriority w:val="99"/>
    <w:qFormat/>
    <w:rsid w:val="00BC3D9A"/>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BC3D9A"/>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BC3D9A"/>
    <w:pPr>
      <w:spacing w:after="160" w:line="240" w:lineRule="exact"/>
    </w:pPr>
    <w:rPr>
      <w:rFonts w:ascii="Arial" w:hAnsi="Arial" w:cs="Arial"/>
      <w:sz w:val="20"/>
      <w:szCs w:val="20"/>
    </w:rPr>
  </w:style>
  <w:style w:type="character" w:customStyle="1" w:styleId="CharChar62">
    <w:name w:val="Char Char62"/>
    <w:uiPriority w:val="99"/>
    <w:rsid w:val="00BC3D9A"/>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BC3D9A"/>
    <w:rPr>
      <w:rFonts w:ascii="Times Armenian" w:hAnsi="Times Armenian" w:hint="default"/>
      <w:noProof/>
      <w:sz w:val="24"/>
      <w:szCs w:val="24"/>
      <w:lang w:val="hy-AM" w:eastAsia="en-US" w:bidi="ar-SA"/>
    </w:rPr>
  </w:style>
  <w:style w:type="character" w:customStyle="1" w:styleId="CharChar42">
    <w:name w:val="Char Char42"/>
    <w:uiPriority w:val="99"/>
    <w:rsid w:val="00BC3D9A"/>
    <w:rPr>
      <w:noProof/>
      <w:lang w:val="hy-AM" w:eastAsia="en-US" w:bidi="ar-SA"/>
    </w:rPr>
  </w:style>
  <w:style w:type="paragraph" w:customStyle="1" w:styleId="CharCharCharChar2">
    <w:name w:val="Char Char Char Char2"/>
    <w:basedOn w:val="Normal"/>
    <w:uiPriority w:val="99"/>
    <w:qFormat/>
    <w:rsid w:val="00BC3D9A"/>
    <w:pPr>
      <w:spacing w:after="160" w:line="240" w:lineRule="exact"/>
    </w:pPr>
    <w:rPr>
      <w:rFonts w:ascii="Arial" w:hAnsi="Arial" w:cs="Arial"/>
      <w:sz w:val="20"/>
      <w:szCs w:val="20"/>
    </w:rPr>
  </w:style>
  <w:style w:type="character" w:customStyle="1" w:styleId="CharChar181">
    <w:name w:val="Char Char181"/>
    <w:uiPriority w:val="99"/>
    <w:rsid w:val="00BC3D9A"/>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BC3D9A"/>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BC3D9A"/>
    <w:rPr>
      <w:rFonts w:ascii="Times New Roman" w:eastAsia="Times New Roman" w:hAnsi="Times New Roman" w:cs="Times New Roman"/>
      <w:noProof/>
      <w:sz w:val="24"/>
      <w:szCs w:val="24"/>
      <w:lang w:val="hy-AM"/>
    </w:rPr>
  </w:style>
  <w:style w:type="character" w:customStyle="1" w:styleId="CharChar231">
    <w:name w:val="Char Char231"/>
    <w:uiPriority w:val="99"/>
    <w:rsid w:val="00BC3D9A"/>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BC3D9A"/>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BC3D9A"/>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BC3D9A"/>
    <w:pPr>
      <w:spacing w:after="180"/>
      <w:ind w:left="709"/>
      <w:jc w:val="both"/>
    </w:pPr>
    <w:rPr>
      <w:rFonts w:ascii="Times New Roman" w:hAnsi="Times New Roman"/>
      <w:lang w:val="en-GB"/>
    </w:rPr>
  </w:style>
  <w:style w:type="character" w:customStyle="1" w:styleId="longtext">
    <w:name w:val="long_text"/>
    <w:uiPriority w:val="99"/>
    <w:rsid w:val="00BC3D9A"/>
  </w:style>
  <w:style w:type="paragraph" w:customStyle="1" w:styleId="hodvats">
    <w:name w:val="hodvats"/>
    <w:basedOn w:val="Normal"/>
    <w:uiPriority w:val="99"/>
    <w:qFormat/>
    <w:rsid w:val="00BC3D9A"/>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BC3D9A"/>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BC3D9A"/>
    <w:pPr>
      <w:spacing w:before="100" w:beforeAutospacing="1" w:after="100" w:afterAutospacing="1"/>
    </w:pPr>
    <w:rPr>
      <w:rFonts w:ascii="Times New Roman" w:hAnsi="Times New Roman"/>
    </w:rPr>
  </w:style>
  <w:style w:type="character" w:customStyle="1" w:styleId="normaltextrun">
    <w:name w:val="normaltextrun"/>
    <w:uiPriority w:val="99"/>
    <w:rsid w:val="00BC3D9A"/>
  </w:style>
  <w:style w:type="character" w:customStyle="1" w:styleId="eop">
    <w:name w:val="eop"/>
    <w:uiPriority w:val="99"/>
    <w:rsid w:val="00BC3D9A"/>
  </w:style>
  <w:style w:type="character" w:customStyle="1" w:styleId="FontStyle29">
    <w:name w:val="Font Style29"/>
    <w:uiPriority w:val="99"/>
    <w:rsid w:val="00BC3D9A"/>
    <w:rPr>
      <w:rFonts w:ascii="Tahoma" w:hAnsi="Tahoma" w:cs="Tahoma"/>
      <w:color w:val="000000"/>
      <w:sz w:val="16"/>
      <w:szCs w:val="16"/>
    </w:rPr>
  </w:style>
  <w:style w:type="character" w:customStyle="1" w:styleId="accent">
    <w:name w:val="accent"/>
    <w:uiPriority w:val="99"/>
    <w:rsid w:val="00BC3D9A"/>
  </w:style>
  <w:style w:type="character" w:customStyle="1" w:styleId="null">
    <w:name w:val="null"/>
    <w:uiPriority w:val="99"/>
    <w:rsid w:val="00BC3D9A"/>
    <w:rPr>
      <w:rFonts w:cs="Times New Roman"/>
    </w:rPr>
  </w:style>
  <w:style w:type="character" w:customStyle="1" w:styleId="a7">
    <w:name w:val="_"/>
    <w:uiPriority w:val="99"/>
    <w:rsid w:val="00BC3D9A"/>
  </w:style>
  <w:style w:type="character" w:customStyle="1" w:styleId="FontStyle19">
    <w:name w:val="Font Style19"/>
    <w:uiPriority w:val="99"/>
    <w:rsid w:val="00BC3D9A"/>
    <w:rPr>
      <w:rFonts w:ascii="Tahoma" w:hAnsi="Tahoma" w:cs="Tahoma"/>
      <w:sz w:val="20"/>
      <w:szCs w:val="20"/>
    </w:rPr>
  </w:style>
  <w:style w:type="character" w:customStyle="1" w:styleId="FontStyle22">
    <w:name w:val="Font Style22"/>
    <w:uiPriority w:val="99"/>
    <w:rsid w:val="00BC3D9A"/>
    <w:rPr>
      <w:rFonts w:ascii="Tahoma" w:hAnsi="Tahoma" w:cs="Tahoma"/>
      <w:sz w:val="20"/>
      <w:szCs w:val="20"/>
    </w:rPr>
  </w:style>
  <w:style w:type="paragraph" w:customStyle="1" w:styleId="100">
    <w:name w:val="Основной текст10"/>
    <w:basedOn w:val="Normal"/>
    <w:uiPriority w:val="99"/>
    <w:qFormat/>
    <w:rsid w:val="00BC3D9A"/>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BC3D9A"/>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BC3D9A"/>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BC3D9A"/>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BC3D9A"/>
  </w:style>
  <w:style w:type="paragraph" w:customStyle="1" w:styleId="m-5230213193050876883p1">
    <w:name w:val="m_-5230213193050876883p1"/>
    <w:basedOn w:val="Normal"/>
    <w:uiPriority w:val="99"/>
    <w:qFormat/>
    <w:rsid w:val="00BC3D9A"/>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BC3D9A"/>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BC3D9A"/>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BC3D9A"/>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BC3D9A"/>
    <w:pPr>
      <w:suppressAutoHyphens/>
      <w:autoSpaceDE w:val="0"/>
      <w:spacing w:after="0" w:line="240" w:lineRule="auto"/>
    </w:pPr>
    <w:rPr>
      <w:rFonts w:ascii="Times Armenian" w:eastAsia="Times New Roman" w:hAnsi="Times Armenian" w:cs="Times Armenian"/>
      <w:color w:val="000000"/>
      <w:szCs w:val="24"/>
      <w:lang w:eastAsia="zh-CN"/>
    </w:rPr>
  </w:style>
  <w:style w:type="character" w:customStyle="1" w:styleId="stmainservices">
    <w:name w:val="stmainservices"/>
    <w:uiPriority w:val="99"/>
    <w:rsid w:val="00BC3D9A"/>
  </w:style>
  <w:style w:type="character" w:customStyle="1" w:styleId="stbubblehcount">
    <w:name w:val="stbubble_hcount"/>
    <w:uiPriority w:val="99"/>
    <w:rsid w:val="00BC3D9A"/>
  </w:style>
  <w:style w:type="character" w:customStyle="1" w:styleId="chicklets">
    <w:name w:val="chicklets"/>
    <w:uiPriority w:val="99"/>
    <w:rsid w:val="00BC3D9A"/>
  </w:style>
  <w:style w:type="paragraph" w:customStyle="1" w:styleId="p1">
    <w:name w:val="p1"/>
    <w:basedOn w:val="Normal"/>
    <w:uiPriority w:val="99"/>
    <w:qFormat/>
    <w:rsid w:val="00BC3D9A"/>
    <w:pPr>
      <w:spacing w:before="100" w:beforeAutospacing="1" w:after="100" w:afterAutospacing="1"/>
    </w:pPr>
    <w:rPr>
      <w:rFonts w:ascii="Times New Roman" w:hAnsi="Times New Roman"/>
    </w:rPr>
  </w:style>
  <w:style w:type="character" w:customStyle="1" w:styleId="s1">
    <w:name w:val="s1"/>
    <w:uiPriority w:val="99"/>
    <w:rsid w:val="00BC3D9A"/>
  </w:style>
  <w:style w:type="paragraph" w:customStyle="1" w:styleId="pers-title">
    <w:name w:val="pers-title"/>
    <w:basedOn w:val="Normal"/>
    <w:uiPriority w:val="99"/>
    <w:qFormat/>
    <w:rsid w:val="00BC3D9A"/>
    <w:pPr>
      <w:spacing w:before="100" w:beforeAutospacing="1" w:after="100" w:afterAutospacing="1"/>
    </w:pPr>
    <w:rPr>
      <w:rFonts w:ascii="Times New Roman" w:hAnsi="Times New Roman"/>
    </w:rPr>
  </w:style>
  <w:style w:type="paragraph" w:customStyle="1" w:styleId="intro">
    <w:name w:val="intro"/>
    <w:basedOn w:val="Normal"/>
    <w:uiPriority w:val="99"/>
    <w:qFormat/>
    <w:rsid w:val="00BC3D9A"/>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BC3D9A"/>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BC3D9A"/>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BC3D9A"/>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BC3D9A"/>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BC3D9A"/>
    <w:pPr>
      <w:widowControl w:val="0"/>
      <w:shd w:val="clear" w:color="auto" w:fill="FFFFFF"/>
      <w:spacing w:after="720" w:line="367" w:lineRule="exact"/>
      <w:jc w:val="center"/>
    </w:pPr>
    <w:rPr>
      <w:rFonts w:ascii="Arial Unicode MS" w:eastAsia="Arial Unicode MS" w:hAnsi="GHEA Grapalat" w:cs="Arial Unicode MS"/>
      <w:b/>
      <w:bCs/>
      <w:sz w:val="32"/>
      <w:szCs w:val="32"/>
    </w:rPr>
  </w:style>
  <w:style w:type="character" w:customStyle="1" w:styleId="Bodytext2105pt">
    <w:name w:val="Body text (2) + 10.5 pt"/>
    <w:aliases w:val="Small Caps,Spacing 0 pt2,Scaling 150%,Body text (2) + 10 pt,Body text (2) + 11 pt1"/>
    <w:uiPriority w:val="99"/>
    <w:rsid w:val="00BC3D9A"/>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BC3D9A"/>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BC3D9A"/>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BC3D9A"/>
    <w:pPr>
      <w:widowControl w:val="0"/>
      <w:shd w:val="clear" w:color="auto" w:fill="FFFFFF"/>
      <w:spacing w:before="480" w:after="360" w:line="370" w:lineRule="exact"/>
      <w:ind w:firstLine="84"/>
    </w:pPr>
    <w:rPr>
      <w:rFonts w:ascii="Arial Unicode MS" w:eastAsia="Arial Unicode MS" w:hAnsi="GHEA Grapalat" w:cs="Arial Unicode MS"/>
      <w:i/>
      <w:iCs/>
      <w:spacing w:val="-20"/>
      <w:sz w:val="28"/>
      <w:szCs w:val="28"/>
    </w:rPr>
  </w:style>
  <w:style w:type="character" w:customStyle="1" w:styleId="Bodytext4Bold">
    <w:name w:val="Body text (4) + Bold"/>
    <w:aliases w:val="Spacing 0 pt"/>
    <w:uiPriority w:val="99"/>
    <w:rsid w:val="00BC3D9A"/>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BC3D9A"/>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BC3D9A"/>
    <w:rPr>
      <w:rFonts w:ascii="Arial Unicode MS" w:eastAsia="Arial Unicode MS" w:cs="Arial Unicode MS"/>
      <w:szCs w:val="24"/>
      <w:shd w:val="clear" w:color="auto" w:fill="FFFFFF"/>
    </w:rPr>
  </w:style>
  <w:style w:type="paragraph" w:customStyle="1" w:styleId="Headerorfooter1">
    <w:name w:val="Header or footer1"/>
    <w:basedOn w:val="Normal"/>
    <w:link w:val="Headerorfooter"/>
    <w:uiPriority w:val="99"/>
    <w:qFormat/>
    <w:rsid w:val="00BC3D9A"/>
    <w:pPr>
      <w:widowControl w:val="0"/>
      <w:shd w:val="clear" w:color="auto" w:fill="FFFFFF"/>
      <w:spacing w:line="240" w:lineRule="atLeast"/>
      <w:ind w:firstLine="77"/>
    </w:pPr>
    <w:rPr>
      <w:rFonts w:ascii="Arial Unicode MS" w:eastAsia="Arial Unicode MS" w:hAnsi="GHEA Grapalat" w:cs="Arial Unicode MS"/>
    </w:rPr>
  </w:style>
  <w:style w:type="character" w:customStyle="1" w:styleId="HeaderorfooterSylfaen">
    <w:name w:val="Header or footer + Sylfaen"/>
    <w:aliases w:val="13 pt,Scaling 66%"/>
    <w:uiPriority w:val="99"/>
    <w:rsid w:val="00BC3D9A"/>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BC3D9A"/>
  </w:style>
  <w:style w:type="character" w:customStyle="1" w:styleId="Bodytext2Spacing-1pt">
    <w:name w:val="Body text (2) + Spacing -1 pt"/>
    <w:uiPriority w:val="99"/>
    <w:rsid w:val="00BC3D9A"/>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BC3D9A"/>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BC3D9A"/>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BC3D9A"/>
    <w:pPr>
      <w:widowControl w:val="0"/>
      <w:shd w:val="clear" w:color="auto" w:fill="FFFFFF"/>
      <w:spacing w:line="240" w:lineRule="atLeast"/>
      <w:ind w:firstLine="36"/>
      <w:jc w:val="both"/>
    </w:pPr>
    <w:rPr>
      <w:rFonts w:ascii="Arial Unicode MS" w:eastAsia="Arial Unicode MS" w:hAnsi="GHEA Grapalat" w:cs="Arial Unicode MS"/>
      <w:szCs w:val="22"/>
    </w:rPr>
  </w:style>
  <w:style w:type="character" w:customStyle="1" w:styleId="Footnote20">
    <w:name w:val="Footnote (2)"/>
    <w:uiPriority w:val="99"/>
    <w:rsid w:val="00BC3D9A"/>
    <w:rPr>
      <w:rFonts w:ascii="Arial Unicode MS" w:eastAsia="Arial Unicode MS" w:cs="Arial Unicode MS"/>
      <w:color w:val="78AAC6"/>
      <w:u w:val="single"/>
      <w:shd w:val="clear" w:color="auto" w:fill="FFFFFF"/>
    </w:rPr>
  </w:style>
  <w:style w:type="character" w:customStyle="1" w:styleId="Footnote22">
    <w:name w:val="Footnote (2)2"/>
    <w:uiPriority w:val="99"/>
    <w:rsid w:val="00BC3D9A"/>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BC3D9A"/>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BC3D9A"/>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BC3D9A"/>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BC3D9A"/>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BC3D9A"/>
    <w:rPr>
      <w:rFonts w:ascii="Consolas" w:hAnsi="Consolas" w:cs="Consolas"/>
      <w:sz w:val="20"/>
      <w:szCs w:val="20"/>
    </w:rPr>
  </w:style>
  <w:style w:type="character" w:customStyle="1" w:styleId="FontStyle32">
    <w:name w:val="Font Style32"/>
    <w:uiPriority w:val="99"/>
    <w:rsid w:val="00BC3D9A"/>
    <w:rPr>
      <w:rFonts w:ascii="Tahoma" w:hAnsi="Tahoma" w:cs="Tahoma"/>
      <w:sz w:val="20"/>
      <w:szCs w:val="20"/>
    </w:rPr>
  </w:style>
  <w:style w:type="character" w:customStyle="1" w:styleId="Bodytext42">
    <w:name w:val="Body text (4)2"/>
    <w:uiPriority w:val="99"/>
    <w:rsid w:val="00BC3D9A"/>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BC3D9A"/>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BC3D9A"/>
    <w:pPr>
      <w:pBdr>
        <w:top w:val="nil"/>
        <w:left w:val="nil"/>
        <w:bottom w:val="nil"/>
        <w:right w:val="nil"/>
        <w:between w:val="nil"/>
        <w:bar w:val="nil"/>
      </w:pBdr>
      <w:spacing w:after="0" w:line="240" w:lineRule="auto"/>
    </w:pPr>
    <w:rPr>
      <w:rFonts w:ascii="Cambria" w:eastAsia="Cambria" w:hAnsi="Cambria" w:cs="Cambria"/>
      <w:color w:val="000000"/>
      <w:szCs w:val="24"/>
      <w:u w:color="000000"/>
      <w:bdr w:val="nil"/>
    </w:rPr>
  </w:style>
  <w:style w:type="paragraph" w:styleId="Quote">
    <w:name w:val="Quote"/>
    <w:basedOn w:val="Normal"/>
    <w:next w:val="Normal"/>
    <w:link w:val="QuoteChar"/>
    <w:uiPriority w:val="99"/>
    <w:qFormat/>
    <w:rsid w:val="00BC3D9A"/>
    <w:pPr>
      <w:spacing w:before="200" w:line="276" w:lineRule="auto"/>
      <w:ind w:left="360" w:right="360"/>
    </w:pPr>
    <w:rPr>
      <w:rFonts w:ascii="Calibri" w:eastAsia="Calibri" w:hAnsi="Calibri"/>
      <w:i/>
      <w:iCs/>
      <w:sz w:val="22"/>
      <w:szCs w:val="22"/>
      <w:lang w:val="hy-AM"/>
    </w:rPr>
  </w:style>
  <w:style w:type="character" w:customStyle="1" w:styleId="QuoteChar">
    <w:name w:val="Quote Char"/>
    <w:basedOn w:val="DefaultParagraphFont"/>
    <w:link w:val="Quote"/>
    <w:uiPriority w:val="99"/>
    <w:rsid w:val="00BC3D9A"/>
    <w:rPr>
      <w:rFonts w:ascii="Calibri" w:eastAsia="Calibri" w:hAnsi="Calibri" w:cs="Times New Roman"/>
      <w:i/>
      <w:iCs/>
      <w:sz w:val="22"/>
      <w:lang w:val="hy-AM"/>
    </w:rPr>
  </w:style>
  <w:style w:type="character" w:styleId="SubtleEmphasis">
    <w:name w:val="Subtle Emphasis"/>
    <w:uiPriority w:val="99"/>
    <w:qFormat/>
    <w:rsid w:val="00BC3D9A"/>
    <w:rPr>
      <w:i/>
      <w:iCs/>
    </w:rPr>
  </w:style>
  <w:style w:type="character" w:styleId="IntenseEmphasis">
    <w:name w:val="Intense Emphasis"/>
    <w:uiPriority w:val="99"/>
    <w:qFormat/>
    <w:rsid w:val="00BC3D9A"/>
    <w:rPr>
      <w:b/>
      <w:bCs/>
    </w:rPr>
  </w:style>
  <w:style w:type="character" w:styleId="SubtleReference">
    <w:name w:val="Subtle Reference"/>
    <w:uiPriority w:val="99"/>
    <w:qFormat/>
    <w:rsid w:val="00BC3D9A"/>
    <w:rPr>
      <w:smallCaps/>
    </w:rPr>
  </w:style>
  <w:style w:type="character" w:styleId="IntenseReference">
    <w:name w:val="Intense Reference"/>
    <w:uiPriority w:val="99"/>
    <w:qFormat/>
    <w:rsid w:val="00BC3D9A"/>
    <w:rPr>
      <w:smallCaps/>
      <w:spacing w:val="5"/>
      <w:u w:val="single"/>
    </w:rPr>
  </w:style>
  <w:style w:type="character" w:styleId="BookTitle">
    <w:name w:val="Book Title"/>
    <w:uiPriority w:val="99"/>
    <w:qFormat/>
    <w:rsid w:val="00BC3D9A"/>
    <w:rPr>
      <w:i/>
      <w:iCs/>
      <w:smallCaps/>
      <w:spacing w:val="5"/>
    </w:rPr>
  </w:style>
  <w:style w:type="character" w:customStyle="1" w:styleId="Normal1">
    <w:name w:val="Normal1"/>
    <w:uiPriority w:val="99"/>
    <w:rsid w:val="00BC3D9A"/>
    <w:rPr>
      <w:rFonts w:ascii="Arial" w:hAnsi="Arial" w:cs="Arial" w:hint="default"/>
      <w:sz w:val="24"/>
    </w:rPr>
  </w:style>
  <w:style w:type="numbering" w:customStyle="1" w:styleId="NoList1">
    <w:name w:val="No List1"/>
    <w:next w:val="NoList"/>
    <w:semiHidden/>
    <w:rsid w:val="00BC3D9A"/>
  </w:style>
  <w:style w:type="table" w:styleId="MediumShading1-Accent5">
    <w:name w:val="Medium Shading 1 Accent 5"/>
    <w:basedOn w:val="TableNormal"/>
    <w:uiPriority w:val="99"/>
    <w:rsid w:val="00BC3D9A"/>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BC3D9A"/>
    <w:pPr>
      <w:spacing w:after="0" w:line="240" w:lineRule="auto"/>
    </w:pPr>
    <w:rPr>
      <w:rFonts w:ascii="Calibri" w:eastAsia="Times New Roman" w:hAnsi="Calibri" w:cs="Calibri"/>
      <w:sz w:val="22"/>
    </w:rPr>
  </w:style>
  <w:style w:type="character" w:customStyle="1" w:styleId="spellingerror">
    <w:name w:val="spellingerror"/>
    <w:uiPriority w:val="99"/>
    <w:rsid w:val="00BC3D9A"/>
  </w:style>
  <w:style w:type="character" w:customStyle="1" w:styleId="s2">
    <w:name w:val="s2"/>
    <w:uiPriority w:val="99"/>
    <w:rsid w:val="00BC3D9A"/>
    <w:rPr>
      <w:rFonts w:cs="Times New Roman"/>
    </w:rPr>
  </w:style>
  <w:style w:type="character" w:customStyle="1" w:styleId="s4">
    <w:name w:val="s4"/>
    <w:uiPriority w:val="99"/>
    <w:rsid w:val="00BC3D9A"/>
  </w:style>
  <w:style w:type="paragraph" w:customStyle="1" w:styleId="p12">
    <w:name w:val="p12"/>
    <w:basedOn w:val="Normal"/>
    <w:uiPriority w:val="99"/>
    <w:qFormat/>
    <w:rsid w:val="00BC3D9A"/>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BC3D9A"/>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BC3D9A"/>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BC3D9A"/>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BC3D9A"/>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BC3D9A"/>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BC3D9A"/>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BC3D9A"/>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BC3D9A"/>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BC3D9A"/>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BC3D9A"/>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BC3D9A"/>
    <w:pPr>
      <w:widowControl w:val="0"/>
      <w:shd w:val="clear" w:color="auto" w:fill="FFFFFF"/>
      <w:spacing w:before="300" w:after="120" w:line="566" w:lineRule="exact"/>
      <w:jc w:val="both"/>
      <w:outlineLvl w:val="1"/>
    </w:pPr>
    <w:rPr>
      <w:rFonts w:ascii="Arial Unicode MS" w:eastAsia="Arial Unicode MS" w:hAnsi="Arial Unicode MS" w:cs="Arial Unicode MS"/>
      <w:spacing w:val="3"/>
      <w:sz w:val="33"/>
      <w:szCs w:val="33"/>
    </w:rPr>
  </w:style>
  <w:style w:type="paragraph" w:customStyle="1" w:styleId="CharCharCharCharCharCharCharCharCharChar3">
    <w:name w:val="Char Char Char Char Char Char Char Char Char Char3"/>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BC3D9A"/>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BC3D9A"/>
    <w:pPr>
      <w:spacing w:after="160" w:line="240" w:lineRule="exact"/>
    </w:pPr>
    <w:rPr>
      <w:rFonts w:ascii="Arial" w:hAnsi="Arial" w:cs="Arial"/>
      <w:sz w:val="20"/>
      <w:szCs w:val="20"/>
    </w:rPr>
  </w:style>
  <w:style w:type="paragraph" w:customStyle="1" w:styleId="ZchnZchn13">
    <w:name w:val="Zchn Zchn13"/>
    <w:basedOn w:val="Normal"/>
    <w:uiPriority w:val="99"/>
    <w:qFormat/>
    <w:rsid w:val="00BC3D9A"/>
    <w:pPr>
      <w:spacing w:after="160" w:line="240" w:lineRule="exact"/>
    </w:pPr>
    <w:rPr>
      <w:rFonts w:ascii="Verdana" w:hAnsi="Verdana"/>
      <w:sz w:val="20"/>
      <w:szCs w:val="20"/>
      <w:lang w:val="en-GB"/>
    </w:rPr>
  </w:style>
  <w:style w:type="paragraph" w:customStyle="1" w:styleId="Znak3">
    <w:name w:val="Znak3"/>
    <w:basedOn w:val="Normal"/>
    <w:uiPriority w:val="99"/>
    <w:qFormat/>
    <w:rsid w:val="00BC3D9A"/>
    <w:pPr>
      <w:tabs>
        <w:tab w:val="left" w:pos="709"/>
      </w:tabs>
    </w:pPr>
    <w:rPr>
      <w:rFonts w:ascii="Tahoma" w:hAnsi="Tahoma"/>
      <w:lang w:val="pl-PL" w:eastAsia="pl-PL"/>
    </w:rPr>
  </w:style>
  <w:style w:type="paragraph" w:customStyle="1" w:styleId="50">
    <w:name w:val="Знак Знак5"/>
    <w:basedOn w:val="Normal"/>
    <w:uiPriority w:val="99"/>
    <w:qFormat/>
    <w:rsid w:val="00BC3D9A"/>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BC3D9A"/>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BC3D9A"/>
    <w:rPr>
      <w:rFonts w:ascii="Times New Roman" w:eastAsia="SimSun" w:hAnsi="Times New Roman"/>
      <w:sz w:val="20"/>
      <w:szCs w:val="20"/>
      <w:lang w:eastAsia="ru-RU"/>
    </w:rPr>
  </w:style>
  <w:style w:type="character" w:customStyle="1" w:styleId="Char7">
    <w:name w:val="Char7"/>
    <w:uiPriority w:val="99"/>
    <w:rsid w:val="00BC3D9A"/>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BC3D9A"/>
    <w:pPr>
      <w:spacing w:after="160" w:line="240" w:lineRule="exact"/>
    </w:pPr>
    <w:rPr>
      <w:rFonts w:ascii="Arial" w:hAnsi="Arial" w:cs="Arial"/>
      <w:sz w:val="20"/>
      <w:szCs w:val="20"/>
    </w:rPr>
  </w:style>
  <w:style w:type="paragraph" w:customStyle="1" w:styleId="130">
    <w:name w:val="Знак Знак13"/>
    <w:basedOn w:val="Normal"/>
    <w:uiPriority w:val="99"/>
    <w:qFormat/>
    <w:rsid w:val="00BC3D9A"/>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BC3D9A"/>
    <w:rPr>
      <w:rFonts w:ascii="Sylfaen" w:hAnsi="Sylfaen"/>
      <w:color w:val="auto"/>
    </w:rPr>
  </w:style>
  <w:style w:type="paragraph" w:customStyle="1" w:styleId="230">
    <w:name w:val="Знак Знак23"/>
    <w:basedOn w:val="Normal"/>
    <w:uiPriority w:val="99"/>
    <w:qFormat/>
    <w:rsid w:val="00BC3D9A"/>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BC3D9A"/>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BC3D9A"/>
    <w:pPr>
      <w:spacing w:after="160" w:line="240" w:lineRule="exact"/>
    </w:pPr>
    <w:rPr>
      <w:rFonts w:ascii="Arial" w:hAnsi="Arial" w:cs="Arial"/>
      <w:sz w:val="20"/>
      <w:szCs w:val="20"/>
    </w:rPr>
  </w:style>
  <w:style w:type="character" w:customStyle="1" w:styleId="CharChar63">
    <w:name w:val="Char Char63"/>
    <w:uiPriority w:val="99"/>
    <w:rsid w:val="00BC3D9A"/>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BC3D9A"/>
    <w:rPr>
      <w:rFonts w:ascii="Times Armenian" w:hAnsi="Times Armenian"/>
      <w:noProof/>
      <w:sz w:val="24"/>
      <w:szCs w:val="24"/>
      <w:lang w:val="hy-AM" w:eastAsia="en-US" w:bidi="ar-SA"/>
    </w:rPr>
  </w:style>
  <w:style w:type="character" w:customStyle="1" w:styleId="CharChar43">
    <w:name w:val="Char Char43"/>
    <w:uiPriority w:val="99"/>
    <w:rsid w:val="00BC3D9A"/>
    <w:rPr>
      <w:noProof/>
      <w:lang w:val="hy-AM" w:eastAsia="en-US" w:bidi="ar-SA"/>
    </w:rPr>
  </w:style>
  <w:style w:type="character" w:customStyle="1" w:styleId="CharChar182">
    <w:name w:val="Char Char182"/>
    <w:uiPriority w:val="99"/>
    <w:rsid w:val="00BC3D9A"/>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BC3D9A"/>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BC3D9A"/>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BC3D9A"/>
    <w:pPr>
      <w:spacing w:after="160" w:line="240" w:lineRule="exact"/>
    </w:pPr>
    <w:rPr>
      <w:rFonts w:ascii="Arial" w:hAnsi="Arial" w:cs="Arial"/>
      <w:sz w:val="20"/>
      <w:szCs w:val="20"/>
    </w:rPr>
  </w:style>
  <w:style w:type="character" w:customStyle="1" w:styleId="CharChar232">
    <w:name w:val="Char Char232"/>
    <w:uiPriority w:val="99"/>
    <w:rsid w:val="00BC3D9A"/>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BC3D9A"/>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BC3D9A"/>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BC3D9A"/>
    <w:pPr>
      <w:spacing w:after="160" w:line="240" w:lineRule="exact"/>
    </w:pPr>
    <w:rPr>
      <w:rFonts w:ascii="Arial" w:hAnsi="Arial" w:cs="Arial"/>
      <w:sz w:val="20"/>
      <w:szCs w:val="20"/>
    </w:rPr>
  </w:style>
  <w:style w:type="paragraph" w:customStyle="1" w:styleId="ZchnZchn17">
    <w:name w:val="Zchn Zchn17"/>
    <w:basedOn w:val="Normal"/>
    <w:uiPriority w:val="99"/>
    <w:qFormat/>
    <w:rsid w:val="00BC3D9A"/>
    <w:pPr>
      <w:spacing w:after="160" w:line="240" w:lineRule="exact"/>
    </w:pPr>
    <w:rPr>
      <w:rFonts w:ascii="Verdana" w:hAnsi="Verdana"/>
      <w:sz w:val="20"/>
      <w:szCs w:val="20"/>
      <w:lang w:val="en-GB"/>
    </w:rPr>
  </w:style>
  <w:style w:type="paragraph" w:customStyle="1" w:styleId="Znak7">
    <w:name w:val="Znak7"/>
    <w:basedOn w:val="Normal"/>
    <w:uiPriority w:val="99"/>
    <w:qFormat/>
    <w:rsid w:val="00BC3D9A"/>
    <w:pPr>
      <w:tabs>
        <w:tab w:val="left" w:pos="709"/>
      </w:tabs>
    </w:pPr>
    <w:rPr>
      <w:rFonts w:ascii="Tahoma" w:hAnsi="Tahoma"/>
      <w:lang w:val="pl-PL" w:eastAsia="pl-PL"/>
    </w:rPr>
  </w:style>
  <w:style w:type="paragraph" w:customStyle="1" w:styleId="9">
    <w:name w:val="Знак Знак9"/>
    <w:basedOn w:val="Normal"/>
    <w:uiPriority w:val="99"/>
    <w:qFormat/>
    <w:rsid w:val="00BC3D9A"/>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BC3D9A"/>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BC3D9A"/>
    <w:rPr>
      <w:rFonts w:ascii="Times New Roman" w:eastAsia="SimSun" w:hAnsi="Times New Roman"/>
      <w:sz w:val="20"/>
      <w:szCs w:val="20"/>
      <w:lang w:eastAsia="ru-RU"/>
    </w:rPr>
  </w:style>
  <w:style w:type="character" w:customStyle="1" w:styleId="Char17">
    <w:name w:val="Char17"/>
    <w:uiPriority w:val="99"/>
    <w:rsid w:val="00BC3D9A"/>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BC3D9A"/>
    <w:pPr>
      <w:spacing w:after="160" w:line="240" w:lineRule="exact"/>
    </w:pPr>
    <w:rPr>
      <w:rFonts w:ascii="Arial" w:hAnsi="Arial" w:cs="Arial"/>
      <w:sz w:val="20"/>
      <w:szCs w:val="20"/>
    </w:rPr>
  </w:style>
  <w:style w:type="paragraph" w:customStyle="1" w:styleId="170">
    <w:name w:val="Знак Знак17"/>
    <w:basedOn w:val="Normal"/>
    <w:uiPriority w:val="99"/>
    <w:qFormat/>
    <w:rsid w:val="00BC3D9A"/>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BC3D9A"/>
    <w:rPr>
      <w:rFonts w:ascii="Sylfaen" w:hAnsi="Sylfaen"/>
      <w:color w:val="auto"/>
    </w:rPr>
  </w:style>
  <w:style w:type="paragraph" w:customStyle="1" w:styleId="270">
    <w:name w:val="Знак Знак27"/>
    <w:basedOn w:val="Normal"/>
    <w:uiPriority w:val="99"/>
    <w:qFormat/>
    <w:rsid w:val="00BC3D9A"/>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BC3D9A"/>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BC3D9A"/>
    <w:pPr>
      <w:spacing w:after="160" w:line="240" w:lineRule="exact"/>
    </w:pPr>
    <w:rPr>
      <w:rFonts w:ascii="Arial" w:hAnsi="Arial" w:cs="Arial"/>
      <w:sz w:val="20"/>
      <w:szCs w:val="20"/>
    </w:rPr>
  </w:style>
  <w:style w:type="character" w:customStyle="1" w:styleId="CharChar67">
    <w:name w:val="Char Char67"/>
    <w:uiPriority w:val="99"/>
    <w:rsid w:val="00BC3D9A"/>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BC3D9A"/>
    <w:rPr>
      <w:rFonts w:ascii="Times Armenian" w:hAnsi="Times Armenian"/>
      <w:noProof/>
      <w:sz w:val="24"/>
      <w:szCs w:val="24"/>
      <w:lang w:val="hy-AM" w:eastAsia="en-US" w:bidi="ar-SA"/>
    </w:rPr>
  </w:style>
  <w:style w:type="character" w:customStyle="1" w:styleId="CharChar47">
    <w:name w:val="Char Char47"/>
    <w:uiPriority w:val="99"/>
    <w:rsid w:val="00BC3D9A"/>
    <w:rPr>
      <w:noProof/>
      <w:lang w:val="hy-AM" w:eastAsia="en-US" w:bidi="ar-SA"/>
    </w:rPr>
  </w:style>
  <w:style w:type="character" w:customStyle="1" w:styleId="CharChar186">
    <w:name w:val="Char Char186"/>
    <w:uiPriority w:val="99"/>
    <w:rsid w:val="00BC3D9A"/>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BC3D9A"/>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BC3D9A"/>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BC3D9A"/>
    <w:pPr>
      <w:spacing w:after="160" w:line="240" w:lineRule="exact"/>
    </w:pPr>
    <w:rPr>
      <w:rFonts w:ascii="Arial" w:hAnsi="Arial" w:cs="Arial"/>
      <w:sz w:val="20"/>
      <w:szCs w:val="20"/>
    </w:rPr>
  </w:style>
  <w:style w:type="character" w:customStyle="1" w:styleId="CharChar236">
    <w:name w:val="Char Char236"/>
    <w:uiPriority w:val="99"/>
    <w:rsid w:val="00BC3D9A"/>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BC3D9A"/>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BC3D9A"/>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BC3D9A"/>
    <w:pPr>
      <w:spacing w:after="160" w:line="240" w:lineRule="exact"/>
    </w:pPr>
    <w:rPr>
      <w:rFonts w:ascii="Arial" w:hAnsi="Arial" w:cs="Arial"/>
      <w:sz w:val="20"/>
      <w:szCs w:val="20"/>
    </w:rPr>
  </w:style>
  <w:style w:type="paragraph" w:customStyle="1" w:styleId="ZchnZchn16">
    <w:name w:val="Zchn Zchn16"/>
    <w:basedOn w:val="Normal"/>
    <w:uiPriority w:val="99"/>
    <w:qFormat/>
    <w:rsid w:val="00BC3D9A"/>
    <w:pPr>
      <w:spacing w:after="160" w:line="240" w:lineRule="exact"/>
    </w:pPr>
    <w:rPr>
      <w:rFonts w:ascii="Verdana" w:hAnsi="Verdana"/>
      <w:sz w:val="20"/>
      <w:szCs w:val="20"/>
      <w:lang w:val="en-GB"/>
    </w:rPr>
  </w:style>
  <w:style w:type="paragraph" w:customStyle="1" w:styleId="Znak6">
    <w:name w:val="Znak6"/>
    <w:basedOn w:val="Normal"/>
    <w:uiPriority w:val="99"/>
    <w:qFormat/>
    <w:rsid w:val="00BC3D9A"/>
    <w:pPr>
      <w:tabs>
        <w:tab w:val="left" w:pos="709"/>
      </w:tabs>
    </w:pPr>
    <w:rPr>
      <w:rFonts w:ascii="Tahoma" w:hAnsi="Tahoma"/>
      <w:lang w:val="pl-PL" w:eastAsia="pl-PL"/>
    </w:rPr>
  </w:style>
  <w:style w:type="paragraph" w:customStyle="1" w:styleId="8">
    <w:name w:val="Знак Знак8"/>
    <w:basedOn w:val="Normal"/>
    <w:uiPriority w:val="99"/>
    <w:qFormat/>
    <w:rsid w:val="00BC3D9A"/>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BC3D9A"/>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BC3D9A"/>
    <w:rPr>
      <w:rFonts w:ascii="Times New Roman" w:eastAsia="SimSun" w:hAnsi="Times New Roman"/>
      <w:sz w:val="20"/>
      <w:szCs w:val="20"/>
      <w:lang w:eastAsia="ru-RU"/>
    </w:rPr>
  </w:style>
  <w:style w:type="character" w:customStyle="1" w:styleId="Char10">
    <w:name w:val="Char10"/>
    <w:uiPriority w:val="99"/>
    <w:rsid w:val="00BC3D9A"/>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BC3D9A"/>
    <w:pPr>
      <w:spacing w:after="160" w:line="240" w:lineRule="exact"/>
    </w:pPr>
    <w:rPr>
      <w:rFonts w:ascii="Arial" w:hAnsi="Arial" w:cs="Arial"/>
      <w:sz w:val="20"/>
      <w:szCs w:val="20"/>
    </w:rPr>
  </w:style>
  <w:style w:type="paragraph" w:customStyle="1" w:styleId="160">
    <w:name w:val="Знак Знак16"/>
    <w:basedOn w:val="Normal"/>
    <w:uiPriority w:val="99"/>
    <w:qFormat/>
    <w:rsid w:val="00BC3D9A"/>
    <w:pPr>
      <w:spacing w:after="160" w:line="240" w:lineRule="exact"/>
    </w:pPr>
    <w:rPr>
      <w:rFonts w:ascii="Arial" w:hAnsi="Arial" w:cs="Arial"/>
      <w:sz w:val="20"/>
      <w:szCs w:val="20"/>
    </w:rPr>
  </w:style>
  <w:style w:type="paragraph" w:customStyle="1" w:styleId="260">
    <w:name w:val="Знак Знак26"/>
    <w:basedOn w:val="Normal"/>
    <w:uiPriority w:val="99"/>
    <w:qFormat/>
    <w:rsid w:val="00BC3D9A"/>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BC3D9A"/>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BC3D9A"/>
    <w:pPr>
      <w:spacing w:after="160" w:line="240" w:lineRule="exact"/>
    </w:pPr>
    <w:rPr>
      <w:rFonts w:ascii="Arial" w:hAnsi="Arial" w:cs="Arial"/>
      <w:sz w:val="20"/>
      <w:szCs w:val="20"/>
    </w:rPr>
  </w:style>
  <w:style w:type="character" w:customStyle="1" w:styleId="CharChar66">
    <w:name w:val="Char Char66"/>
    <w:uiPriority w:val="99"/>
    <w:rsid w:val="00BC3D9A"/>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BC3D9A"/>
    <w:rPr>
      <w:rFonts w:ascii="Times Armenian" w:hAnsi="Times Armenian"/>
      <w:noProof/>
      <w:sz w:val="24"/>
      <w:szCs w:val="24"/>
      <w:lang w:val="hy-AM" w:eastAsia="en-US" w:bidi="ar-SA"/>
    </w:rPr>
  </w:style>
  <w:style w:type="character" w:customStyle="1" w:styleId="CharChar46">
    <w:name w:val="Char Char46"/>
    <w:uiPriority w:val="99"/>
    <w:rsid w:val="00BC3D9A"/>
    <w:rPr>
      <w:noProof/>
      <w:lang w:val="hy-AM" w:eastAsia="en-US" w:bidi="ar-SA"/>
    </w:rPr>
  </w:style>
  <w:style w:type="character" w:customStyle="1" w:styleId="CharChar185">
    <w:name w:val="Char Char185"/>
    <w:uiPriority w:val="99"/>
    <w:rsid w:val="00BC3D9A"/>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BC3D9A"/>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BC3D9A"/>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BC3D9A"/>
    <w:pPr>
      <w:spacing w:after="160" w:line="240" w:lineRule="exact"/>
    </w:pPr>
    <w:rPr>
      <w:rFonts w:ascii="Arial" w:hAnsi="Arial" w:cs="Arial"/>
      <w:sz w:val="20"/>
      <w:szCs w:val="20"/>
    </w:rPr>
  </w:style>
  <w:style w:type="character" w:customStyle="1" w:styleId="CharChar235">
    <w:name w:val="Char Char235"/>
    <w:uiPriority w:val="99"/>
    <w:rsid w:val="00BC3D9A"/>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BC3D9A"/>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BC3D9A"/>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BC3D9A"/>
    <w:pPr>
      <w:spacing w:after="160" w:line="240" w:lineRule="exact"/>
    </w:pPr>
    <w:rPr>
      <w:rFonts w:ascii="Arial" w:hAnsi="Arial" w:cs="Arial"/>
      <w:sz w:val="20"/>
      <w:szCs w:val="20"/>
    </w:rPr>
  </w:style>
  <w:style w:type="paragraph" w:customStyle="1" w:styleId="ZchnZchn19">
    <w:name w:val="Zchn Zchn19"/>
    <w:basedOn w:val="Normal"/>
    <w:uiPriority w:val="99"/>
    <w:qFormat/>
    <w:rsid w:val="00BC3D9A"/>
    <w:pPr>
      <w:spacing w:after="160" w:line="240" w:lineRule="exact"/>
    </w:pPr>
    <w:rPr>
      <w:rFonts w:ascii="Verdana" w:hAnsi="Verdana"/>
      <w:sz w:val="20"/>
      <w:szCs w:val="20"/>
      <w:lang w:val="en-GB"/>
    </w:rPr>
  </w:style>
  <w:style w:type="paragraph" w:customStyle="1" w:styleId="Znak9">
    <w:name w:val="Znak9"/>
    <w:basedOn w:val="Normal"/>
    <w:uiPriority w:val="99"/>
    <w:qFormat/>
    <w:rsid w:val="00BC3D9A"/>
    <w:pPr>
      <w:tabs>
        <w:tab w:val="left" w:pos="709"/>
      </w:tabs>
    </w:pPr>
    <w:rPr>
      <w:rFonts w:ascii="Tahoma" w:hAnsi="Tahoma"/>
      <w:lang w:val="pl-PL" w:eastAsia="pl-PL"/>
    </w:rPr>
  </w:style>
  <w:style w:type="paragraph" w:customStyle="1" w:styleId="200">
    <w:name w:val="Знак Знак20"/>
    <w:basedOn w:val="Normal"/>
    <w:uiPriority w:val="99"/>
    <w:qFormat/>
    <w:rsid w:val="00BC3D9A"/>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BC3D9A"/>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BC3D9A"/>
    <w:rPr>
      <w:rFonts w:ascii="Times New Roman" w:eastAsia="SimSun" w:hAnsi="Times New Roman"/>
      <w:sz w:val="20"/>
      <w:szCs w:val="20"/>
      <w:lang w:eastAsia="ru-RU"/>
    </w:rPr>
  </w:style>
  <w:style w:type="character" w:customStyle="1" w:styleId="Char21">
    <w:name w:val="Char21"/>
    <w:uiPriority w:val="99"/>
    <w:rsid w:val="00BC3D9A"/>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BC3D9A"/>
    <w:pPr>
      <w:spacing w:after="160" w:line="240" w:lineRule="exact"/>
    </w:pPr>
    <w:rPr>
      <w:rFonts w:ascii="Arial" w:hAnsi="Arial" w:cs="Arial"/>
      <w:sz w:val="20"/>
      <w:szCs w:val="20"/>
    </w:rPr>
  </w:style>
  <w:style w:type="paragraph" w:customStyle="1" w:styleId="1100">
    <w:name w:val="Знак Знак110"/>
    <w:basedOn w:val="Normal"/>
    <w:uiPriority w:val="99"/>
    <w:qFormat/>
    <w:rsid w:val="00BC3D9A"/>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BC3D9A"/>
    <w:rPr>
      <w:rFonts w:ascii="Sylfaen" w:hAnsi="Sylfaen"/>
      <w:color w:val="auto"/>
    </w:rPr>
  </w:style>
  <w:style w:type="paragraph" w:customStyle="1" w:styleId="290">
    <w:name w:val="Знак Знак29"/>
    <w:basedOn w:val="Normal"/>
    <w:uiPriority w:val="99"/>
    <w:qFormat/>
    <w:rsid w:val="00BC3D9A"/>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BC3D9A"/>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BC3D9A"/>
    <w:pPr>
      <w:spacing w:after="160" w:line="240" w:lineRule="exact"/>
    </w:pPr>
    <w:rPr>
      <w:rFonts w:ascii="Arial" w:hAnsi="Arial" w:cs="Arial"/>
      <w:sz w:val="20"/>
      <w:szCs w:val="20"/>
    </w:rPr>
  </w:style>
  <w:style w:type="character" w:customStyle="1" w:styleId="CharChar69">
    <w:name w:val="Char Char69"/>
    <w:uiPriority w:val="99"/>
    <w:rsid w:val="00BC3D9A"/>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BC3D9A"/>
    <w:rPr>
      <w:rFonts w:ascii="Times Armenian" w:hAnsi="Times Armenian"/>
      <w:noProof/>
      <w:sz w:val="24"/>
      <w:szCs w:val="24"/>
      <w:lang w:val="hy-AM" w:eastAsia="en-US" w:bidi="ar-SA"/>
    </w:rPr>
  </w:style>
  <w:style w:type="character" w:customStyle="1" w:styleId="CharChar49">
    <w:name w:val="Char Char49"/>
    <w:uiPriority w:val="99"/>
    <w:rsid w:val="00BC3D9A"/>
    <w:rPr>
      <w:noProof/>
      <w:lang w:val="hy-AM" w:eastAsia="en-US" w:bidi="ar-SA"/>
    </w:rPr>
  </w:style>
  <w:style w:type="character" w:customStyle="1" w:styleId="CharChar188">
    <w:name w:val="Char Char188"/>
    <w:uiPriority w:val="99"/>
    <w:rsid w:val="00BC3D9A"/>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BC3D9A"/>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BC3D9A"/>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BC3D9A"/>
    <w:pPr>
      <w:spacing w:after="160" w:line="240" w:lineRule="exact"/>
    </w:pPr>
    <w:rPr>
      <w:rFonts w:ascii="Arial" w:hAnsi="Arial" w:cs="Arial"/>
      <w:sz w:val="20"/>
      <w:szCs w:val="20"/>
    </w:rPr>
  </w:style>
  <w:style w:type="character" w:customStyle="1" w:styleId="CharChar238">
    <w:name w:val="Char Char238"/>
    <w:uiPriority w:val="99"/>
    <w:rsid w:val="00BC3D9A"/>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BC3D9A"/>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BC3D9A"/>
    <w:rPr>
      <w:rFonts w:ascii="Sylfaen" w:hAnsi="Sylfaen"/>
      <w:color w:val="auto"/>
    </w:rPr>
  </w:style>
  <w:style w:type="character" w:customStyle="1" w:styleId="Impact115pt0pt1">
    <w:name w:val="Основной текст + Impact.11.5 pt.Курсив.Интервал 0 pt1"/>
    <w:uiPriority w:val="99"/>
    <w:rsid w:val="00BC3D9A"/>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BC3D9A"/>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BC3D9A"/>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BC3D9A"/>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BC3D9A"/>
    <w:pPr>
      <w:spacing w:after="160" w:line="240" w:lineRule="exact"/>
    </w:pPr>
    <w:rPr>
      <w:rFonts w:ascii="Arial" w:hAnsi="Arial" w:cs="Arial"/>
      <w:sz w:val="20"/>
      <w:szCs w:val="20"/>
    </w:rPr>
  </w:style>
  <w:style w:type="paragraph" w:customStyle="1" w:styleId="ZchnZchn15">
    <w:name w:val="Zchn Zchn15"/>
    <w:basedOn w:val="Normal"/>
    <w:uiPriority w:val="99"/>
    <w:qFormat/>
    <w:rsid w:val="00BC3D9A"/>
    <w:pPr>
      <w:spacing w:after="160" w:line="240" w:lineRule="exact"/>
    </w:pPr>
    <w:rPr>
      <w:rFonts w:ascii="Verdana" w:hAnsi="Verdana"/>
      <w:sz w:val="20"/>
      <w:szCs w:val="20"/>
      <w:lang w:val="en-GB"/>
    </w:rPr>
  </w:style>
  <w:style w:type="paragraph" w:customStyle="1" w:styleId="Znak5">
    <w:name w:val="Znak5"/>
    <w:basedOn w:val="Normal"/>
    <w:uiPriority w:val="99"/>
    <w:qFormat/>
    <w:rsid w:val="00BC3D9A"/>
    <w:pPr>
      <w:tabs>
        <w:tab w:val="left" w:pos="709"/>
      </w:tabs>
    </w:pPr>
    <w:rPr>
      <w:rFonts w:ascii="Tahoma" w:hAnsi="Tahoma"/>
      <w:lang w:val="pl-PL" w:eastAsia="pl-PL"/>
    </w:rPr>
  </w:style>
  <w:style w:type="paragraph" w:customStyle="1" w:styleId="7">
    <w:name w:val="Знак Знак7"/>
    <w:basedOn w:val="Normal"/>
    <w:uiPriority w:val="99"/>
    <w:qFormat/>
    <w:rsid w:val="00BC3D9A"/>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BC3D9A"/>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BC3D9A"/>
    <w:rPr>
      <w:rFonts w:ascii="Times New Roman" w:eastAsia="SimSun" w:hAnsi="Times New Roman"/>
      <w:sz w:val="20"/>
      <w:szCs w:val="20"/>
      <w:lang w:eastAsia="ru-RU"/>
    </w:rPr>
  </w:style>
  <w:style w:type="character" w:customStyle="1" w:styleId="Char9">
    <w:name w:val="Char9"/>
    <w:uiPriority w:val="99"/>
    <w:rsid w:val="00BC3D9A"/>
    <w:rPr>
      <w:rFonts w:ascii="Times Armenian" w:hAnsi="Times Armenian"/>
      <w:sz w:val="22"/>
      <w:lang w:val="en-GB" w:eastAsia="en-US"/>
    </w:rPr>
  </w:style>
  <w:style w:type="paragraph" w:customStyle="1" w:styleId="CharCharChar5">
    <w:name w:val="Char Char Char Знак5"/>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BC3D9A"/>
    <w:pPr>
      <w:spacing w:after="160" w:line="240" w:lineRule="exact"/>
    </w:pPr>
    <w:rPr>
      <w:rFonts w:ascii="Arial" w:hAnsi="Arial" w:cs="Arial"/>
      <w:sz w:val="20"/>
      <w:szCs w:val="20"/>
    </w:rPr>
  </w:style>
  <w:style w:type="paragraph" w:customStyle="1" w:styleId="150">
    <w:name w:val="Знак Знак15"/>
    <w:basedOn w:val="Normal"/>
    <w:uiPriority w:val="99"/>
    <w:qFormat/>
    <w:rsid w:val="00BC3D9A"/>
    <w:pPr>
      <w:spacing w:after="160" w:line="240" w:lineRule="exact"/>
    </w:pPr>
    <w:rPr>
      <w:rFonts w:ascii="Arial" w:hAnsi="Arial" w:cs="Arial"/>
      <w:sz w:val="20"/>
      <w:szCs w:val="20"/>
    </w:rPr>
  </w:style>
  <w:style w:type="paragraph" w:customStyle="1" w:styleId="250">
    <w:name w:val="Знак Знак25"/>
    <w:basedOn w:val="Normal"/>
    <w:uiPriority w:val="99"/>
    <w:qFormat/>
    <w:rsid w:val="00BC3D9A"/>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BC3D9A"/>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BC3D9A"/>
    <w:pPr>
      <w:spacing w:after="160" w:line="240" w:lineRule="exact"/>
    </w:pPr>
    <w:rPr>
      <w:rFonts w:ascii="Arial" w:hAnsi="Arial" w:cs="Arial"/>
      <w:sz w:val="20"/>
      <w:szCs w:val="20"/>
    </w:rPr>
  </w:style>
  <w:style w:type="character" w:customStyle="1" w:styleId="CharChar65">
    <w:name w:val="Char Char65"/>
    <w:uiPriority w:val="99"/>
    <w:rsid w:val="00BC3D9A"/>
    <w:rPr>
      <w:rFonts w:ascii="Times Armenian" w:hAnsi="Times Armenian"/>
      <w:b/>
      <w:i/>
      <w:noProof/>
      <w:sz w:val="26"/>
      <w:u w:val="single"/>
      <w:lang w:val="hy-AM" w:eastAsia="en-US"/>
    </w:rPr>
  </w:style>
  <w:style w:type="character" w:customStyle="1" w:styleId="CharChar55">
    <w:name w:val="Char Char55"/>
    <w:uiPriority w:val="99"/>
    <w:rsid w:val="00BC3D9A"/>
    <w:rPr>
      <w:rFonts w:ascii="Times Armenian" w:hAnsi="Times Armenian"/>
      <w:noProof/>
      <w:sz w:val="24"/>
      <w:lang w:val="hy-AM" w:eastAsia="en-US"/>
    </w:rPr>
  </w:style>
  <w:style w:type="character" w:customStyle="1" w:styleId="CharChar45">
    <w:name w:val="Char Char45"/>
    <w:uiPriority w:val="99"/>
    <w:rsid w:val="00BC3D9A"/>
    <w:rPr>
      <w:noProof/>
      <w:lang w:val="hy-AM" w:eastAsia="en-US"/>
    </w:rPr>
  </w:style>
  <w:style w:type="character" w:customStyle="1" w:styleId="CharChar184">
    <w:name w:val="Char Char184"/>
    <w:uiPriority w:val="99"/>
    <w:rsid w:val="00BC3D9A"/>
    <w:rPr>
      <w:rFonts w:ascii="Times Armenian" w:hAnsi="Times Armenian"/>
      <w:b/>
      <w:i/>
      <w:noProof/>
      <w:sz w:val="20"/>
      <w:lang w:val="hy-AM"/>
    </w:rPr>
  </w:style>
  <w:style w:type="character" w:customStyle="1" w:styleId="CharChar134">
    <w:name w:val="Char Char134"/>
    <w:uiPriority w:val="99"/>
    <w:semiHidden/>
    <w:rsid w:val="00BC3D9A"/>
    <w:rPr>
      <w:rFonts w:ascii="Times New Roman" w:hAnsi="Times New Roman"/>
      <w:noProof/>
      <w:sz w:val="20"/>
      <w:lang w:val="hy-AM"/>
    </w:rPr>
  </w:style>
  <w:style w:type="character" w:customStyle="1" w:styleId="CharChar124">
    <w:name w:val="Char Char124"/>
    <w:uiPriority w:val="99"/>
    <w:semiHidden/>
    <w:locked/>
    <w:rsid w:val="00BC3D9A"/>
    <w:rPr>
      <w:rFonts w:ascii="Times New Roman" w:hAnsi="Times New Roman"/>
      <w:noProof/>
      <w:sz w:val="24"/>
      <w:lang w:val="hy-AM"/>
    </w:rPr>
  </w:style>
  <w:style w:type="paragraph" w:customStyle="1" w:styleId="CharCharCharChar5">
    <w:name w:val="Char Char Char Char5"/>
    <w:basedOn w:val="Normal"/>
    <w:uiPriority w:val="99"/>
    <w:qFormat/>
    <w:rsid w:val="00BC3D9A"/>
    <w:pPr>
      <w:spacing w:after="160" w:line="240" w:lineRule="exact"/>
    </w:pPr>
    <w:rPr>
      <w:rFonts w:ascii="Arial" w:hAnsi="Arial" w:cs="Arial"/>
      <w:sz w:val="20"/>
      <w:szCs w:val="20"/>
    </w:rPr>
  </w:style>
  <w:style w:type="character" w:customStyle="1" w:styleId="CharChar234">
    <w:name w:val="Char Char234"/>
    <w:uiPriority w:val="99"/>
    <w:rsid w:val="00BC3D9A"/>
    <w:rPr>
      <w:rFonts w:ascii="Times Armenian" w:hAnsi="Times Armenian"/>
      <w:noProof/>
      <w:sz w:val="24"/>
      <w:u w:val="single"/>
      <w:lang w:val="hy-AM"/>
    </w:rPr>
  </w:style>
  <w:style w:type="character" w:customStyle="1" w:styleId="CharChar244">
    <w:name w:val="Char Char244"/>
    <w:uiPriority w:val="99"/>
    <w:locked/>
    <w:rsid w:val="00BC3D9A"/>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BC3D9A"/>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BC3D9A"/>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BC3D9A"/>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BC3D9A"/>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BC3D9A"/>
  </w:style>
  <w:style w:type="character" w:customStyle="1" w:styleId="Impact115pt0pt2">
    <w:name w:val="Основной текст + Impact.11.5 pt.Курсив.Интервал 0 pt2"/>
    <w:uiPriority w:val="99"/>
    <w:rsid w:val="00BC3D9A"/>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BC3D9A"/>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BC3D9A"/>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BC3D9A"/>
    <w:pPr>
      <w:widowControl w:val="0"/>
      <w:autoSpaceDE w:val="0"/>
      <w:autoSpaceDN w:val="0"/>
      <w:adjustRightInd w:val="0"/>
      <w:spacing w:line="211" w:lineRule="exact"/>
    </w:pPr>
    <w:rPr>
      <w:rFonts w:ascii="Tahoma" w:eastAsia="SimSun" w:hAnsi="Tahoma" w:cs="Tahoma"/>
    </w:rPr>
  </w:style>
  <w:style w:type="paragraph" w:customStyle="1" w:styleId="a8">
    <w:name w:val="Գծապատկեր"/>
    <w:basedOn w:val="Normal"/>
    <w:link w:val="Char0"/>
    <w:autoRedefine/>
    <w:qFormat/>
    <w:rsid w:val="00BC3D9A"/>
    <w:pPr>
      <w:keepNext/>
      <w:keepLines/>
      <w:tabs>
        <w:tab w:val="left" w:pos="8"/>
        <w:tab w:val="left" w:pos="1276"/>
        <w:tab w:val="left" w:pos="1560"/>
        <w:tab w:val="left" w:pos="1843"/>
      </w:tabs>
      <w:autoSpaceDE w:val="0"/>
      <w:autoSpaceDN w:val="0"/>
      <w:adjustRightInd w:val="0"/>
      <w:spacing w:after="200" w:line="276" w:lineRule="auto"/>
    </w:pPr>
    <w:rPr>
      <w:rFonts w:ascii="GHEA Grapalat" w:eastAsia="GHEA Grapalat" w:hAnsi="GHEA Grapalat" w:cs="GHEA Grapalat"/>
      <w:noProof/>
      <w:sz w:val="16"/>
      <w:szCs w:val="16"/>
    </w:rPr>
  </w:style>
  <w:style w:type="character" w:customStyle="1" w:styleId="Char0">
    <w:name w:val="Գծապատկեր Char"/>
    <w:link w:val="a8"/>
    <w:rsid w:val="00BC3D9A"/>
    <w:rPr>
      <w:rFonts w:eastAsia="GHEA Grapalat" w:cs="GHEA Grapalat"/>
      <w:noProof/>
      <w:sz w:val="16"/>
      <w:szCs w:val="16"/>
    </w:rPr>
  </w:style>
  <w:style w:type="paragraph" w:styleId="TableofFigures">
    <w:name w:val="table of figures"/>
    <w:aliases w:val="ԳԾԱՊԱՏԿԵՐՆԵՐ"/>
    <w:basedOn w:val="Normal"/>
    <w:next w:val="Normal"/>
    <w:autoRedefine/>
    <w:uiPriority w:val="99"/>
    <w:qFormat/>
    <w:rsid w:val="00BC3D9A"/>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BC3D9A"/>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BC3D9A"/>
    <w:pPr>
      <w:spacing w:after="160" w:line="240" w:lineRule="exact"/>
    </w:pPr>
    <w:rPr>
      <w:rFonts w:ascii="Arial" w:hAnsi="Arial" w:cs="Arial"/>
      <w:sz w:val="20"/>
      <w:szCs w:val="20"/>
    </w:rPr>
  </w:style>
  <w:style w:type="paragraph" w:customStyle="1" w:styleId="19">
    <w:name w:val="Знак Знак19"/>
    <w:basedOn w:val="Normal"/>
    <w:uiPriority w:val="99"/>
    <w:qFormat/>
    <w:rsid w:val="00BC3D9A"/>
    <w:pPr>
      <w:spacing w:after="160" w:line="240" w:lineRule="exact"/>
    </w:pPr>
    <w:rPr>
      <w:rFonts w:ascii="Arial" w:hAnsi="Arial" w:cs="Arial"/>
      <w:sz w:val="20"/>
      <w:szCs w:val="20"/>
    </w:rPr>
  </w:style>
  <w:style w:type="character" w:customStyle="1" w:styleId="highlight">
    <w:name w:val="highlight"/>
    <w:basedOn w:val="DefaultParagraphFont"/>
    <w:uiPriority w:val="99"/>
    <w:rsid w:val="00BC3D9A"/>
  </w:style>
  <w:style w:type="paragraph" w:customStyle="1" w:styleId="43">
    <w:name w:val="Абзац списка4"/>
    <w:basedOn w:val="Normal"/>
    <w:uiPriority w:val="99"/>
    <w:qFormat/>
    <w:rsid w:val="00BC3D9A"/>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BC3D9A"/>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BC3D9A"/>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BC3D9A"/>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BC3D9A"/>
    <w:pPr>
      <w:spacing w:after="160" w:line="240" w:lineRule="exact"/>
    </w:pPr>
    <w:rPr>
      <w:rFonts w:ascii="Arial" w:hAnsi="Arial" w:cs="Arial"/>
      <w:sz w:val="20"/>
      <w:szCs w:val="20"/>
    </w:rPr>
  </w:style>
  <w:style w:type="paragraph" w:customStyle="1" w:styleId="ZchnZchn18">
    <w:name w:val="Zchn Zchn18"/>
    <w:basedOn w:val="Normal"/>
    <w:uiPriority w:val="99"/>
    <w:qFormat/>
    <w:rsid w:val="00BC3D9A"/>
    <w:pPr>
      <w:spacing w:after="160" w:line="240" w:lineRule="exact"/>
    </w:pPr>
    <w:rPr>
      <w:rFonts w:ascii="Verdana" w:hAnsi="Verdana"/>
      <w:sz w:val="20"/>
      <w:szCs w:val="20"/>
      <w:lang w:val="en-GB"/>
    </w:rPr>
  </w:style>
  <w:style w:type="paragraph" w:customStyle="1" w:styleId="Znak8">
    <w:name w:val="Znak8"/>
    <w:basedOn w:val="Normal"/>
    <w:uiPriority w:val="99"/>
    <w:qFormat/>
    <w:rsid w:val="00BC3D9A"/>
    <w:pPr>
      <w:tabs>
        <w:tab w:val="left" w:pos="709"/>
      </w:tabs>
    </w:pPr>
    <w:rPr>
      <w:rFonts w:ascii="Tahoma" w:hAnsi="Tahoma"/>
      <w:lang w:val="pl-PL" w:eastAsia="pl-PL"/>
    </w:rPr>
  </w:style>
  <w:style w:type="paragraph" w:customStyle="1" w:styleId="101">
    <w:name w:val="Знак Знак10"/>
    <w:basedOn w:val="Normal"/>
    <w:uiPriority w:val="99"/>
    <w:qFormat/>
    <w:rsid w:val="00BC3D9A"/>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BC3D9A"/>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BC3D9A"/>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BC3D9A"/>
    <w:rPr>
      <w:rFonts w:ascii="Times New Roman" w:eastAsia="SimSun" w:hAnsi="Times New Roman"/>
      <w:sz w:val="20"/>
      <w:szCs w:val="20"/>
      <w:lang w:eastAsia="ru-RU"/>
    </w:rPr>
  </w:style>
  <w:style w:type="character" w:customStyle="1" w:styleId="Char19">
    <w:name w:val="Char19"/>
    <w:uiPriority w:val="99"/>
    <w:rsid w:val="00BC3D9A"/>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BC3D9A"/>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BC3D9A"/>
    <w:pPr>
      <w:spacing w:after="160" w:line="240" w:lineRule="exact"/>
    </w:pPr>
    <w:rPr>
      <w:rFonts w:ascii="Arial" w:hAnsi="Arial" w:cs="Arial"/>
      <w:sz w:val="20"/>
      <w:szCs w:val="20"/>
    </w:rPr>
  </w:style>
  <w:style w:type="paragraph" w:customStyle="1" w:styleId="180">
    <w:name w:val="Знак Знак18"/>
    <w:basedOn w:val="Normal"/>
    <w:uiPriority w:val="99"/>
    <w:qFormat/>
    <w:rsid w:val="00BC3D9A"/>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BC3D9A"/>
    <w:rPr>
      <w:rFonts w:ascii="Sylfaen" w:hAnsi="Sylfaen"/>
      <w:color w:val="auto"/>
    </w:rPr>
  </w:style>
  <w:style w:type="paragraph" w:customStyle="1" w:styleId="280">
    <w:name w:val="Знак Знак28"/>
    <w:basedOn w:val="Normal"/>
    <w:uiPriority w:val="99"/>
    <w:qFormat/>
    <w:rsid w:val="00BC3D9A"/>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BC3D9A"/>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BC3D9A"/>
    <w:pPr>
      <w:spacing w:after="160" w:line="240" w:lineRule="exact"/>
    </w:pPr>
    <w:rPr>
      <w:rFonts w:ascii="Arial" w:hAnsi="Arial" w:cs="Arial"/>
      <w:sz w:val="20"/>
      <w:szCs w:val="20"/>
    </w:rPr>
  </w:style>
  <w:style w:type="character" w:customStyle="1" w:styleId="CharChar68">
    <w:name w:val="Char Char68"/>
    <w:uiPriority w:val="99"/>
    <w:rsid w:val="00BC3D9A"/>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BC3D9A"/>
    <w:rPr>
      <w:rFonts w:ascii="Times Armenian" w:hAnsi="Times Armenian"/>
      <w:noProof/>
      <w:sz w:val="24"/>
      <w:szCs w:val="24"/>
      <w:lang w:val="hy-AM" w:eastAsia="en-US" w:bidi="ar-SA"/>
    </w:rPr>
  </w:style>
  <w:style w:type="character" w:customStyle="1" w:styleId="CharChar48">
    <w:name w:val="Char Char48"/>
    <w:uiPriority w:val="99"/>
    <w:rsid w:val="00BC3D9A"/>
    <w:rPr>
      <w:noProof/>
      <w:lang w:val="hy-AM" w:eastAsia="en-US" w:bidi="ar-SA"/>
    </w:rPr>
  </w:style>
  <w:style w:type="character" w:customStyle="1" w:styleId="CharChar187">
    <w:name w:val="Char Char187"/>
    <w:uiPriority w:val="99"/>
    <w:rsid w:val="00BC3D9A"/>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BC3D9A"/>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BC3D9A"/>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BC3D9A"/>
    <w:pPr>
      <w:spacing w:after="160" w:line="240" w:lineRule="exact"/>
    </w:pPr>
    <w:rPr>
      <w:rFonts w:ascii="Arial" w:hAnsi="Arial" w:cs="Arial"/>
      <w:sz w:val="20"/>
      <w:szCs w:val="20"/>
    </w:rPr>
  </w:style>
  <w:style w:type="character" w:customStyle="1" w:styleId="CharChar237">
    <w:name w:val="Char Char237"/>
    <w:uiPriority w:val="99"/>
    <w:rsid w:val="00BC3D9A"/>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BC3D9A"/>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BC3D9A"/>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BC3D9A"/>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BC3D9A"/>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
    <w:name w:val="Աղյուսակ"/>
    <w:basedOn w:val="Normal"/>
    <w:next w:val="Normal"/>
    <w:link w:val="Chara"/>
    <w:uiPriority w:val="99"/>
    <w:qFormat/>
    <w:rsid w:val="00BC3D9A"/>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
    <w:uiPriority w:val="99"/>
    <w:rsid w:val="00BC3D9A"/>
    <w:rPr>
      <w:rFonts w:eastAsia="Calibri" w:cs="Times New Roman"/>
      <w:b/>
      <w:noProof/>
      <w:color w:val="1F497D"/>
      <w:szCs w:val="24"/>
      <w:lang w:val="hy-AM"/>
    </w:rPr>
  </w:style>
  <w:style w:type="table" w:customStyle="1" w:styleId="TableGrid12">
    <w:name w:val="Table Grid12"/>
    <w:basedOn w:val="TableNormal"/>
    <w:next w:val="TableGrid"/>
    <w:uiPriority w:val="99"/>
    <w:rsid w:val="00BC3D9A"/>
    <w:pPr>
      <w:spacing w:after="200" w:line="276"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BC3D9A"/>
    <w:pPr>
      <w:spacing w:after="200" w:line="276"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BC3D9A"/>
    <w:pPr>
      <w:spacing w:after="200" w:line="276" w:lineRule="auto"/>
    </w:pPr>
    <w:rPr>
      <w:rFonts w:ascii="Times New Roman" w:eastAsia="Times New Roman" w:hAnsi="Times New Roman"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BC3D9A"/>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C3D9A"/>
    <w:pPr>
      <w:spacing w:after="0" w:line="240" w:lineRule="auto"/>
    </w:pPr>
    <w:rPr>
      <w:rFonts w:asciiTheme="minorHAnsi" w:hAnsiTheme="minorHAnsi"/>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BC3D9A"/>
    <w:rPr>
      <w:rFonts w:ascii="Times LatArm" w:hAnsi="Times LatArm"/>
      <w:b/>
      <w:sz w:val="40"/>
      <w:lang w:val="en-GB" w:eastAsia="en-US"/>
    </w:rPr>
  </w:style>
  <w:style w:type="paragraph" w:customStyle="1" w:styleId="a9">
    <w:name w:val="Абзац списка"/>
    <w:basedOn w:val="Normal"/>
    <w:uiPriority w:val="99"/>
    <w:rsid w:val="00BC3D9A"/>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BC3D9A"/>
    <w:pPr>
      <w:spacing w:after="0" w:line="240" w:lineRule="auto"/>
    </w:pPr>
    <w:rPr>
      <w:rFonts w:ascii="Calibri" w:eastAsia="Times New Roman" w:hAnsi="Calibri" w:cs="Calibri"/>
      <w:sz w:val="22"/>
    </w:rPr>
  </w:style>
  <w:style w:type="paragraph" w:customStyle="1" w:styleId="ab">
    <w:name w:val="Основной текст"/>
    <w:basedOn w:val="Normal"/>
    <w:uiPriority w:val="99"/>
    <w:rsid w:val="00BC3D9A"/>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BC3D9A"/>
    <w:pPr>
      <w:spacing w:after="0" w:line="240" w:lineRule="auto"/>
    </w:pPr>
    <w:rPr>
      <w:rFonts w:ascii="Times New Roman" w:eastAsia="Times New Roman" w:hAnsi="Times New Roman" w:cs="Times New Roman"/>
      <w:szCs w:val="24"/>
      <w:lang w:val="hy-AM"/>
    </w:rPr>
  </w:style>
  <w:style w:type="paragraph" w:customStyle="1" w:styleId="Normal3">
    <w:name w:val="Normal3"/>
    <w:uiPriority w:val="99"/>
    <w:rsid w:val="00BC3D9A"/>
    <w:pPr>
      <w:spacing w:after="0" w:line="240" w:lineRule="auto"/>
    </w:pPr>
    <w:rPr>
      <w:rFonts w:ascii="Times New Roman" w:eastAsia="Times New Roman" w:hAnsi="Times New Roman" w:cs="Times New Roman"/>
      <w:szCs w:val="24"/>
      <w:lang w:val="hy-AM"/>
    </w:rPr>
  </w:style>
  <w:style w:type="paragraph" w:customStyle="1" w:styleId="221">
    <w:name w:val="Абзац списка22"/>
    <w:basedOn w:val="Normal"/>
    <w:uiPriority w:val="99"/>
    <w:rsid w:val="00BC3D9A"/>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BC3D9A"/>
    <w:rPr>
      <w:rFonts w:ascii="Sylfaen" w:hAnsi="Sylfaen"/>
      <w:spacing w:val="0"/>
      <w:u w:val="none"/>
      <w:effect w:val="none"/>
      <w:shd w:val="clear" w:color="auto" w:fill="FFFFFF"/>
    </w:rPr>
  </w:style>
  <w:style w:type="paragraph" w:customStyle="1" w:styleId="320">
    <w:name w:val="Без интервала32"/>
    <w:uiPriority w:val="99"/>
    <w:rsid w:val="00BC3D9A"/>
    <w:pPr>
      <w:spacing w:after="0" w:line="240" w:lineRule="auto"/>
    </w:pPr>
    <w:rPr>
      <w:rFonts w:ascii="Calibri" w:eastAsia="Times New Roman" w:hAnsi="Calibri" w:cs="Calibri"/>
      <w:sz w:val="22"/>
    </w:rPr>
  </w:style>
  <w:style w:type="paragraph" w:customStyle="1" w:styleId="msonormalmrcssattr">
    <w:name w:val="msonormal_mr_css_attr"/>
    <w:basedOn w:val="Normal"/>
    <w:uiPriority w:val="99"/>
    <w:rsid w:val="00BC3D9A"/>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BC3D9A"/>
    <w:pPr>
      <w:spacing w:after="200" w:line="276" w:lineRule="auto"/>
      <w:ind w:left="720"/>
    </w:pPr>
    <w:rPr>
      <w:rFonts w:ascii="Calibri" w:hAnsi="Calibri" w:cs="Calibri"/>
      <w:sz w:val="22"/>
      <w:szCs w:val="22"/>
    </w:rPr>
  </w:style>
  <w:style w:type="character" w:customStyle="1" w:styleId="51">
    <w:name w:val="Основной текст51"/>
    <w:uiPriority w:val="99"/>
    <w:rsid w:val="00BC3D9A"/>
    <w:rPr>
      <w:rFonts w:ascii="Sylfaen" w:hAnsi="Sylfaen"/>
      <w:spacing w:val="0"/>
      <w:u w:val="none"/>
      <w:effect w:val="none"/>
      <w:shd w:val="clear" w:color="auto" w:fill="FFFFFF"/>
    </w:rPr>
  </w:style>
  <w:style w:type="paragraph" w:customStyle="1" w:styleId="310">
    <w:name w:val="Без интервала31"/>
    <w:uiPriority w:val="99"/>
    <w:rsid w:val="00BC3D9A"/>
    <w:pPr>
      <w:spacing w:after="0" w:line="240" w:lineRule="auto"/>
    </w:pPr>
    <w:rPr>
      <w:rFonts w:ascii="Calibri" w:eastAsia="Times New Roman" w:hAnsi="Calibri" w:cs="Calibri"/>
      <w:sz w:val="22"/>
    </w:rPr>
  </w:style>
  <w:style w:type="character" w:customStyle="1" w:styleId="acopre">
    <w:name w:val="acopre"/>
    <w:uiPriority w:val="99"/>
    <w:rsid w:val="00BC3D9A"/>
    <w:rPr>
      <w:rFonts w:cs="Times New Roman"/>
    </w:rPr>
  </w:style>
  <w:style w:type="character" w:customStyle="1" w:styleId="mechtex0">
    <w:name w:val="mechtex Знак"/>
    <w:locked/>
    <w:rsid w:val="00BC3D9A"/>
    <w:rPr>
      <w:rFonts w:ascii="Arial Armenian" w:eastAsia="Times New Roman" w:hAnsi="Arial Armenian" w:cs="Arial Armenian"/>
      <w:kern w:val="2"/>
      <w:lang w:eastAsia="ru-RU"/>
    </w:rPr>
  </w:style>
  <w:style w:type="paragraph" w:customStyle="1" w:styleId="BodyA">
    <w:name w:val="Body A"/>
    <w:rsid w:val="00BC3D9A"/>
    <w:pPr>
      <w:spacing w:after="0" w:line="240" w:lineRule="auto"/>
    </w:pPr>
    <w:rPr>
      <w:rFonts w:ascii="Helvetica Neue" w:eastAsia="Arial Unicode MS" w:hAnsi="Helvetica Neue" w:cs="Arial Unicode MS"/>
      <w:color w:val="000000"/>
      <w:sz w:val="22"/>
      <w:u w:color="000000"/>
    </w:rPr>
  </w:style>
  <w:style w:type="paragraph" w:customStyle="1" w:styleId="TableContents">
    <w:name w:val="Table Contents"/>
    <w:basedOn w:val="Normal"/>
    <w:uiPriority w:val="99"/>
    <w:qFormat/>
    <w:rsid w:val="00BC3D9A"/>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BC3D9A"/>
    <w:rPr>
      <w:rFonts w:ascii="Arial Armenian" w:hAnsi="Arial Armenian"/>
    </w:rPr>
  </w:style>
  <w:style w:type="character" w:customStyle="1" w:styleId="Heading7Char1">
    <w:name w:val="Heading 7 Char1"/>
    <w:semiHidden/>
    <w:rsid w:val="00BC3D9A"/>
    <w:rPr>
      <w:rFonts w:ascii="Cambria" w:eastAsia="Times New Roman" w:hAnsi="Cambria" w:cs="Times New Roman"/>
      <w:i/>
      <w:iCs/>
      <w:color w:val="404040"/>
      <w:sz w:val="24"/>
      <w:szCs w:val="24"/>
    </w:rPr>
  </w:style>
  <w:style w:type="character" w:customStyle="1" w:styleId="Heading8Char1">
    <w:name w:val="Heading 8 Char1"/>
    <w:semiHidden/>
    <w:rsid w:val="00BC3D9A"/>
    <w:rPr>
      <w:rFonts w:ascii="Cambria" w:eastAsia="Times New Roman" w:hAnsi="Cambria" w:cs="Times New Roman"/>
      <w:color w:val="404040"/>
    </w:rPr>
  </w:style>
  <w:style w:type="character" w:customStyle="1" w:styleId="Heading9Char1">
    <w:name w:val="Heading 9 Char1"/>
    <w:uiPriority w:val="99"/>
    <w:semiHidden/>
    <w:rsid w:val="00BC3D9A"/>
    <w:rPr>
      <w:rFonts w:ascii="Cambria" w:eastAsia="Times New Roman" w:hAnsi="Cambria" w:cs="Times New Roman"/>
      <w:i/>
      <w:iCs/>
      <w:color w:val="404040"/>
    </w:rPr>
  </w:style>
  <w:style w:type="character" w:customStyle="1" w:styleId="BodyTextIndent2Char1">
    <w:name w:val="Body Text Indent 2 Char1"/>
    <w:semiHidden/>
    <w:rsid w:val="00BC3D9A"/>
    <w:rPr>
      <w:rFonts w:ascii="Arial Armenian" w:hAnsi="Arial Armenian"/>
      <w:sz w:val="24"/>
      <w:szCs w:val="24"/>
    </w:rPr>
  </w:style>
  <w:style w:type="character" w:customStyle="1" w:styleId="CommentSubjectChar1">
    <w:name w:val="Comment Subject Char1"/>
    <w:semiHidden/>
    <w:rsid w:val="00BC3D9A"/>
    <w:rPr>
      <w:rFonts w:ascii="Arial Armenian" w:hAnsi="Arial Armenian"/>
      <w:b/>
      <w:bCs/>
    </w:rPr>
  </w:style>
  <w:style w:type="character" w:customStyle="1" w:styleId="EndnoteTextChar1">
    <w:name w:val="Endnote Text Char1"/>
    <w:semiHidden/>
    <w:rsid w:val="00BC3D9A"/>
    <w:rPr>
      <w:rFonts w:ascii="Arial Armenian" w:hAnsi="Arial Armenian"/>
    </w:rPr>
  </w:style>
  <w:style w:type="character" w:customStyle="1" w:styleId="DocumentMapChar1">
    <w:name w:val="Document Map Char1"/>
    <w:uiPriority w:val="99"/>
    <w:semiHidden/>
    <w:rsid w:val="00BC3D9A"/>
    <w:rPr>
      <w:rFonts w:ascii="Tahoma" w:hAnsi="Tahoma" w:cs="Tahoma"/>
      <w:sz w:val="16"/>
      <w:szCs w:val="16"/>
    </w:rPr>
  </w:style>
  <w:style w:type="character" w:customStyle="1" w:styleId="BodyTextFirstIndentChar1">
    <w:name w:val="Body Text First Indent Char1"/>
    <w:uiPriority w:val="99"/>
    <w:semiHidden/>
    <w:rsid w:val="00BC3D9A"/>
    <w:rPr>
      <w:rFonts w:ascii="Times Armenian" w:hAnsi="Times Armenian" w:cs="Times New Roman"/>
      <w:b/>
      <w:i/>
      <w:noProof/>
      <w:sz w:val="24"/>
      <w:szCs w:val="24"/>
      <w:lang w:val="hy-AM"/>
    </w:rPr>
  </w:style>
  <w:style w:type="character" w:customStyle="1" w:styleId="IntenseQuoteChar1">
    <w:name w:val="Intense Quote Char1"/>
    <w:uiPriority w:val="99"/>
    <w:rsid w:val="00BC3D9A"/>
    <w:rPr>
      <w:rFonts w:ascii="Arial Armenian" w:hAnsi="Arial Armenian"/>
      <w:b/>
      <w:bCs/>
      <w:i/>
      <w:iCs/>
      <w:color w:val="4F81BD"/>
      <w:sz w:val="24"/>
      <w:szCs w:val="24"/>
    </w:rPr>
  </w:style>
  <w:style w:type="character" w:customStyle="1" w:styleId="PlainTextChar2">
    <w:name w:val="Plain Text Char2"/>
    <w:uiPriority w:val="99"/>
    <w:semiHidden/>
    <w:rsid w:val="00BC3D9A"/>
    <w:rPr>
      <w:rFonts w:ascii="Consolas" w:hAnsi="Consolas"/>
      <w:sz w:val="21"/>
      <w:szCs w:val="21"/>
    </w:rPr>
  </w:style>
  <w:style w:type="character" w:customStyle="1" w:styleId="TitleChar2">
    <w:name w:val="Title Char2"/>
    <w:uiPriority w:val="10"/>
    <w:rsid w:val="00BC3D9A"/>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BC3D9A"/>
    <w:rPr>
      <w:rFonts w:ascii="Cambria" w:eastAsia="Times New Roman" w:hAnsi="Cambria" w:cs="Times New Roman"/>
      <w:i/>
      <w:iCs/>
      <w:color w:val="4F81BD"/>
      <w:spacing w:val="15"/>
      <w:sz w:val="24"/>
      <w:szCs w:val="24"/>
    </w:rPr>
  </w:style>
  <w:style w:type="character" w:customStyle="1" w:styleId="QuoteChar1">
    <w:name w:val="Quote Char1"/>
    <w:uiPriority w:val="99"/>
    <w:rsid w:val="00BC3D9A"/>
    <w:rPr>
      <w:rFonts w:ascii="Arial Armenian" w:hAnsi="Arial Armenian"/>
      <w:i/>
      <w:iCs/>
      <w:color w:val="000000"/>
      <w:sz w:val="24"/>
      <w:szCs w:val="24"/>
    </w:rPr>
  </w:style>
  <w:style w:type="numbering" w:customStyle="1" w:styleId="1">
    <w:name w:val="Стиль1"/>
    <w:uiPriority w:val="99"/>
    <w:rsid w:val="00BC3D9A"/>
    <w:pPr>
      <w:numPr>
        <w:numId w:val="12"/>
      </w:numPr>
    </w:pPr>
  </w:style>
  <w:style w:type="character" w:customStyle="1" w:styleId="UnresolvedMention1">
    <w:name w:val="Unresolved Mention1"/>
    <w:uiPriority w:val="99"/>
    <w:semiHidden/>
    <w:rsid w:val="00BC3D9A"/>
    <w:rPr>
      <w:color w:val="605E5C"/>
      <w:shd w:val="clear" w:color="auto" w:fill="E1DFDD"/>
    </w:rPr>
  </w:style>
  <w:style w:type="character" w:customStyle="1" w:styleId="markedcontent">
    <w:name w:val="markedcontent"/>
    <w:rsid w:val="00BC3D9A"/>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BC3D9A"/>
    <w:pPr>
      <w:spacing w:after="160" w:line="240" w:lineRule="exact"/>
    </w:pPr>
    <w:rPr>
      <w:rFonts w:ascii="GHEA Grapalat" w:eastAsiaTheme="minorHAnsi" w:hAnsi="GHEA Grapalat" w:cstheme="minorBidi"/>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english/PressRelease/202110/t20211019_1823616.html"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ec.europa.eu/eurostat/documents/2995521/14497760/2-29042022-BP-EN.pdf" TargetMode="External"/><Relationship Id="rId1" Type="http://schemas.openxmlformats.org/officeDocument/2006/relationships/hyperlink" Target="https://ec.europa.eu/eurostat/documents/2995521/11563347/2-29102021-BP-EN.pdf/e8d47562-a783-9b7c-c1f6-0241602abbd9"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economy.gov.ru/material/file/bffc6cc5eadc71d91c685e2fe5908112/29102021.pdf" TargetMode="External"/><Relationship Id="rId4" Type="http://schemas.openxmlformats.org/officeDocument/2006/relationships/hyperlink" Target="http://www.stats.gov.cn/english/PressRelease/202204/t20220418_1829688.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2020-2022թ</a:t>
            </a:r>
            <a:r>
              <a:rPr lang="hy-AM" sz="900" b="1" i="0" u="none" strike="noStrike" kern="1200" baseline="0">
                <a:solidFill>
                  <a:sysClr val="windowText" lastClr="000000"/>
                </a:solidFill>
                <a:latin typeface="GHEA Grapalat" panose="02000506050000020003" pitchFamily="50" charset="0"/>
                <a:ea typeface="+mn-ea"/>
                <a:cs typeface="+mn-cs"/>
              </a:rPr>
              <a:t>թվական</a:t>
            </a:r>
            <a:endParaRPr lang="en-US" sz="900" i="1">
              <a:latin typeface="GHEA Grapalat" panose="02000506050000020003" pitchFamily="50" charset="0"/>
            </a:endParaRPr>
          </a:p>
        </c:rich>
      </c:tx>
      <c:layout>
        <c:manualLayout>
          <c:xMode val="edge"/>
          <c:yMode val="edge"/>
          <c:x val="0.28023483133885374"/>
          <c:y val="2.8735632183908046E-2"/>
        </c:manualLayout>
      </c:layout>
      <c:overlay val="0"/>
    </c:title>
    <c:autoTitleDeleted val="0"/>
    <c:plotArea>
      <c:layout>
        <c:manualLayout>
          <c:layoutTarget val="inner"/>
          <c:xMode val="edge"/>
          <c:yMode val="edge"/>
          <c:x val="8.8478830959383095E-2"/>
          <c:y val="0.17024981523891206"/>
          <c:w val="0.82659835065797493"/>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Sheet1!$C$2:$C$795</c:f>
              <c:numCache>
                <c:formatCode>General</c:formatCode>
                <c:ptCount val="79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pt idx="574">
                  <c:v>462</c:v>
                </c:pt>
                <c:pt idx="575">
                  <c:v>772</c:v>
                </c:pt>
                <c:pt idx="576">
                  <c:v>896</c:v>
                </c:pt>
                <c:pt idx="577">
                  <c:v>1022</c:v>
                </c:pt>
                <c:pt idx="578">
                  <c:v>934</c:v>
                </c:pt>
                <c:pt idx="579">
                  <c:v>1152</c:v>
                </c:pt>
                <c:pt idx="580">
                  <c:v>907</c:v>
                </c:pt>
                <c:pt idx="581">
                  <c:v>627</c:v>
                </c:pt>
                <c:pt idx="582">
                  <c:v>891</c:v>
                </c:pt>
                <c:pt idx="583">
                  <c:v>1155</c:v>
                </c:pt>
                <c:pt idx="584">
                  <c:v>1309</c:v>
                </c:pt>
                <c:pt idx="585">
                  <c:v>1202</c:v>
                </c:pt>
                <c:pt idx="586">
                  <c:v>1331</c:v>
                </c:pt>
                <c:pt idx="587">
                  <c:v>1151</c:v>
                </c:pt>
                <c:pt idx="588">
                  <c:v>601</c:v>
                </c:pt>
                <c:pt idx="589">
                  <c:v>903</c:v>
                </c:pt>
                <c:pt idx="590">
                  <c:v>1217</c:v>
                </c:pt>
                <c:pt idx="591">
                  <c:v>1589</c:v>
                </c:pt>
                <c:pt idx="592">
                  <c:v>1765</c:v>
                </c:pt>
                <c:pt idx="593">
                  <c:v>1863</c:v>
                </c:pt>
                <c:pt idx="594">
                  <c:v>1697</c:v>
                </c:pt>
                <c:pt idx="595">
                  <c:v>1192</c:v>
                </c:pt>
                <c:pt idx="596">
                  <c:v>1054</c:v>
                </c:pt>
                <c:pt idx="597">
                  <c:v>2066</c:v>
                </c:pt>
                <c:pt idx="598">
                  <c:v>2603</c:v>
                </c:pt>
                <c:pt idx="599">
                  <c:v>2146</c:v>
                </c:pt>
                <c:pt idx="600">
                  <c:v>1962</c:v>
                </c:pt>
                <c:pt idx="601">
                  <c:v>2354</c:v>
                </c:pt>
                <c:pt idx="602">
                  <c:v>1184</c:v>
                </c:pt>
                <c:pt idx="603">
                  <c:v>1517</c:v>
                </c:pt>
                <c:pt idx="604">
                  <c:v>2074</c:v>
                </c:pt>
                <c:pt idx="605">
                  <c:v>2307</c:v>
                </c:pt>
                <c:pt idx="606">
                  <c:v>2096</c:v>
                </c:pt>
                <c:pt idx="607">
                  <c:v>2193</c:v>
                </c:pt>
                <c:pt idx="608">
                  <c:v>1587</c:v>
                </c:pt>
                <c:pt idx="609">
                  <c:v>1071</c:v>
                </c:pt>
                <c:pt idx="610">
                  <c:v>1232</c:v>
                </c:pt>
                <c:pt idx="611">
                  <c:v>2045</c:v>
                </c:pt>
                <c:pt idx="612">
                  <c:v>2330</c:v>
                </c:pt>
                <c:pt idx="613">
                  <c:v>1835</c:v>
                </c:pt>
                <c:pt idx="614">
                  <c:v>2177</c:v>
                </c:pt>
                <c:pt idx="615">
                  <c:v>1417</c:v>
                </c:pt>
                <c:pt idx="616">
                  <c:v>810</c:v>
                </c:pt>
                <c:pt idx="617">
                  <c:v>1121</c:v>
                </c:pt>
                <c:pt idx="618">
                  <c:v>1675</c:v>
                </c:pt>
                <c:pt idx="619">
                  <c:v>1482</c:v>
                </c:pt>
                <c:pt idx="620">
                  <c:v>1309</c:v>
                </c:pt>
                <c:pt idx="621">
                  <c:v>1251</c:v>
                </c:pt>
                <c:pt idx="622">
                  <c:v>882</c:v>
                </c:pt>
                <c:pt idx="623">
                  <c:v>378</c:v>
                </c:pt>
                <c:pt idx="624">
                  <c:v>572</c:v>
                </c:pt>
                <c:pt idx="625">
                  <c:v>982</c:v>
                </c:pt>
                <c:pt idx="626">
                  <c:v>1019</c:v>
                </c:pt>
                <c:pt idx="627">
                  <c:v>799</c:v>
                </c:pt>
                <c:pt idx="628">
                  <c:v>870</c:v>
                </c:pt>
                <c:pt idx="629">
                  <c:v>492</c:v>
                </c:pt>
                <c:pt idx="630">
                  <c:v>272</c:v>
                </c:pt>
                <c:pt idx="631">
                  <c:v>531</c:v>
                </c:pt>
                <c:pt idx="632">
                  <c:v>860</c:v>
                </c:pt>
                <c:pt idx="633">
                  <c:v>592</c:v>
                </c:pt>
                <c:pt idx="634">
                  <c:v>675</c:v>
                </c:pt>
                <c:pt idx="635">
                  <c:v>517</c:v>
                </c:pt>
                <c:pt idx="636">
                  <c:v>409</c:v>
                </c:pt>
                <c:pt idx="637">
                  <c:v>189</c:v>
                </c:pt>
                <c:pt idx="638">
                  <c:v>398</c:v>
                </c:pt>
                <c:pt idx="639">
                  <c:v>502</c:v>
                </c:pt>
                <c:pt idx="640">
                  <c:v>558</c:v>
                </c:pt>
                <c:pt idx="641">
                  <c:v>399</c:v>
                </c:pt>
                <c:pt idx="642">
                  <c:v>419</c:v>
                </c:pt>
                <c:pt idx="643">
                  <c:v>327</c:v>
                </c:pt>
                <c:pt idx="644">
                  <c:v>95</c:v>
                </c:pt>
                <c:pt idx="645">
                  <c:v>240</c:v>
                </c:pt>
                <c:pt idx="646">
                  <c:v>410</c:v>
                </c:pt>
                <c:pt idx="647">
                  <c:v>300</c:v>
                </c:pt>
                <c:pt idx="648">
                  <c:v>347</c:v>
                </c:pt>
                <c:pt idx="649">
                  <c:v>290</c:v>
                </c:pt>
                <c:pt idx="650">
                  <c:v>133</c:v>
                </c:pt>
                <c:pt idx="651">
                  <c:v>66</c:v>
                </c:pt>
                <c:pt idx="652">
                  <c:v>161</c:v>
                </c:pt>
                <c:pt idx="653">
                  <c:v>212</c:v>
                </c:pt>
                <c:pt idx="654">
                  <c:v>180</c:v>
                </c:pt>
                <c:pt idx="655">
                  <c:v>193</c:v>
                </c:pt>
                <c:pt idx="656">
                  <c:v>156</c:v>
                </c:pt>
                <c:pt idx="657">
                  <c:v>130</c:v>
                </c:pt>
                <c:pt idx="658">
                  <c:v>72</c:v>
                </c:pt>
                <c:pt idx="659">
                  <c:v>137</c:v>
                </c:pt>
                <c:pt idx="660">
                  <c:v>152</c:v>
                </c:pt>
                <c:pt idx="661">
                  <c:v>129</c:v>
                </c:pt>
                <c:pt idx="662">
                  <c:v>135</c:v>
                </c:pt>
                <c:pt idx="663">
                  <c:v>118</c:v>
                </c:pt>
                <c:pt idx="664">
                  <c:v>102</c:v>
                </c:pt>
                <c:pt idx="665">
                  <c:v>59</c:v>
                </c:pt>
                <c:pt idx="666">
                  <c:v>109</c:v>
                </c:pt>
                <c:pt idx="667">
                  <c:v>88</c:v>
                </c:pt>
                <c:pt idx="668">
                  <c:v>89</c:v>
                </c:pt>
                <c:pt idx="669">
                  <c:v>104</c:v>
                </c:pt>
                <c:pt idx="670">
                  <c:v>50</c:v>
                </c:pt>
                <c:pt idx="671">
                  <c:v>27</c:v>
                </c:pt>
                <c:pt idx="672">
                  <c:v>29</c:v>
                </c:pt>
                <c:pt idx="673">
                  <c:v>90</c:v>
                </c:pt>
                <c:pt idx="674">
                  <c:v>129</c:v>
                </c:pt>
                <c:pt idx="675">
                  <c:v>134</c:v>
                </c:pt>
                <c:pt idx="676">
                  <c:v>129</c:v>
                </c:pt>
                <c:pt idx="677">
                  <c:v>195</c:v>
                </c:pt>
                <c:pt idx="678">
                  <c:v>142</c:v>
                </c:pt>
                <c:pt idx="679">
                  <c:v>126</c:v>
                </c:pt>
                <c:pt idx="680">
                  <c:v>243</c:v>
                </c:pt>
                <c:pt idx="681">
                  <c:v>289</c:v>
                </c:pt>
                <c:pt idx="682">
                  <c:v>298</c:v>
                </c:pt>
                <c:pt idx="683">
                  <c:v>273</c:v>
                </c:pt>
                <c:pt idx="684">
                  <c:v>293</c:v>
                </c:pt>
                <c:pt idx="685">
                  <c:v>240</c:v>
                </c:pt>
                <c:pt idx="686">
                  <c:v>168</c:v>
                </c:pt>
                <c:pt idx="687">
                  <c:v>360</c:v>
                </c:pt>
                <c:pt idx="688">
                  <c:v>563</c:v>
                </c:pt>
                <c:pt idx="689">
                  <c:v>621</c:v>
                </c:pt>
                <c:pt idx="690">
                  <c:v>628</c:v>
                </c:pt>
                <c:pt idx="691">
                  <c:v>940</c:v>
                </c:pt>
                <c:pt idx="692">
                  <c:v>814</c:v>
                </c:pt>
                <c:pt idx="693">
                  <c:v>688</c:v>
                </c:pt>
                <c:pt idx="694">
                  <c:v>1332</c:v>
                </c:pt>
                <c:pt idx="695">
                  <c:v>1931</c:v>
                </c:pt>
                <c:pt idx="696">
                  <c:v>2556</c:v>
                </c:pt>
                <c:pt idx="697">
                  <c:v>3536</c:v>
                </c:pt>
                <c:pt idx="698">
                  <c:v>2594</c:v>
                </c:pt>
                <c:pt idx="699">
                  <c:v>2085</c:v>
                </c:pt>
                <c:pt idx="700">
                  <c:v>1362</c:v>
                </c:pt>
                <c:pt idx="701">
                  <c:v>3127</c:v>
                </c:pt>
                <c:pt idx="702">
                  <c:v>3956</c:v>
                </c:pt>
                <c:pt idx="703">
                  <c:v>4388</c:v>
                </c:pt>
                <c:pt idx="704">
                  <c:v>4192</c:v>
                </c:pt>
                <c:pt idx="705">
                  <c:v>4032</c:v>
                </c:pt>
                <c:pt idx="706">
                  <c:v>2467</c:v>
                </c:pt>
                <c:pt idx="707">
                  <c:v>1631</c:v>
                </c:pt>
                <c:pt idx="708">
                  <c:v>2486</c:v>
                </c:pt>
                <c:pt idx="709">
                  <c:v>2811</c:v>
                </c:pt>
                <c:pt idx="710">
                  <c:v>2842</c:v>
                </c:pt>
                <c:pt idx="711">
                  <c:v>2676</c:v>
                </c:pt>
                <c:pt idx="712">
                  <c:v>2402</c:v>
                </c:pt>
                <c:pt idx="713">
                  <c:v>1574</c:v>
                </c:pt>
                <c:pt idx="714">
                  <c:v>695</c:v>
                </c:pt>
                <c:pt idx="715">
                  <c:v>1307</c:v>
                </c:pt>
                <c:pt idx="716">
                  <c:v>1774</c:v>
                </c:pt>
                <c:pt idx="717">
                  <c:v>1723</c:v>
                </c:pt>
                <c:pt idx="718">
                  <c:v>1417</c:v>
                </c:pt>
                <c:pt idx="719">
                  <c:v>1469</c:v>
                </c:pt>
                <c:pt idx="720">
                  <c:v>700</c:v>
                </c:pt>
                <c:pt idx="721">
                  <c:v>293</c:v>
                </c:pt>
                <c:pt idx="722">
                  <c:v>753</c:v>
                </c:pt>
                <c:pt idx="723">
                  <c:v>946</c:v>
                </c:pt>
                <c:pt idx="724">
                  <c:v>764</c:v>
                </c:pt>
                <c:pt idx="725">
                  <c:v>572</c:v>
                </c:pt>
                <c:pt idx="726">
                  <c:v>631</c:v>
                </c:pt>
                <c:pt idx="727">
                  <c:v>270</c:v>
                </c:pt>
                <c:pt idx="728">
                  <c:v>139</c:v>
                </c:pt>
                <c:pt idx="729">
                  <c:v>324</c:v>
                </c:pt>
                <c:pt idx="730">
                  <c:v>342</c:v>
                </c:pt>
                <c:pt idx="731">
                  <c:v>259</c:v>
                </c:pt>
                <c:pt idx="732">
                  <c:v>251</c:v>
                </c:pt>
                <c:pt idx="733">
                  <c:v>218</c:v>
                </c:pt>
                <c:pt idx="734">
                  <c:v>115</c:v>
                </c:pt>
                <c:pt idx="735">
                  <c:v>60</c:v>
                </c:pt>
                <c:pt idx="736">
                  <c:v>140</c:v>
                </c:pt>
                <c:pt idx="737">
                  <c:v>51</c:v>
                </c:pt>
                <c:pt idx="738">
                  <c:v>122</c:v>
                </c:pt>
                <c:pt idx="739">
                  <c:v>128</c:v>
                </c:pt>
                <c:pt idx="740">
                  <c:v>111</c:v>
                </c:pt>
                <c:pt idx="741">
                  <c:v>51</c:v>
                </c:pt>
                <c:pt idx="742">
                  <c:v>17</c:v>
                </c:pt>
                <c:pt idx="743">
                  <c:v>55</c:v>
                </c:pt>
                <c:pt idx="744">
                  <c:v>79</c:v>
                </c:pt>
                <c:pt idx="745">
                  <c:v>47</c:v>
                </c:pt>
                <c:pt idx="746">
                  <c:v>52</c:v>
                </c:pt>
                <c:pt idx="747">
                  <c:v>32</c:v>
                </c:pt>
                <c:pt idx="748">
                  <c:v>21</c:v>
                </c:pt>
                <c:pt idx="749">
                  <c:v>21</c:v>
                </c:pt>
                <c:pt idx="750">
                  <c:v>26</c:v>
                </c:pt>
                <c:pt idx="751">
                  <c:v>28</c:v>
                </c:pt>
                <c:pt idx="752">
                  <c:v>19</c:v>
                </c:pt>
                <c:pt idx="753">
                  <c:v>22</c:v>
                </c:pt>
                <c:pt idx="754">
                  <c:v>21</c:v>
                </c:pt>
                <c:pt idx="755">
                  <c:v>14</c:v>
                </c:pt>
                <c:pt idx="756">
                  <c:v>10</c:v>
                </c:pt>
                <c:pt idx="757">
                  <c:v>16</c:v>
                </c:pt>
                <c:pt idx="758">
                  <c:v>14</c:v>
                </c:pt>
                <c:pt idx="759">
                  <c:v>21</c:v>
                </c:pt>
                <c:pt idx="760">
                  <c:v>21</c:v>
                </c:pt>
                <c:pt idx="761">
                  <c:v>12</c:v>
                </c:pt>
                <c:pt idx="762">
                  <c:v>22</c:v>
                </c:pt>
                <c:pt idx="763">
                  <c:v>7</c:v>
                </c:pt>
                <c:pt idx="764">
                  <c:v>13</c:v>
                </c:pt>
                <c:pt idx="765">
                  <c:v>16</c:v>
                </c:pt>
                <c:pt idx="766">
                  <c:v>19</c:v>
                </c:pt>
                <c:pt idx="767">
                  <c:v>14</c:v>
                </c:pt>
                <c:pt idx="768">
                  <c:v>19</c:v>
                </c:pt>
                <c:pt idx="769">
                  <c:v>15</c:v>
                </c:pt>
                <c:pt idx="770">
                  <c:v>1</c:v>
                </c:pt>
                <c:pt idx="771">
                  <c:v>13</c:v>
                </c:pt>
                <c:pt idx="772">
                  <c:v>20</c:v>
                </c:pt>
                <c:pt idx="773">
                  <c:v>10</c:v>
                </c:pt>
                <c:pt idx="774">
                  <c:v>8</c:v>
                </c:pt>
                <c:pt idx="775">
                  <c:v>18</c:v>
                </c:pt>
                <c:pt idx="776">
                  <c:v>15</c:v>
                </c:pt>
                <c:pt idx="777">
                  <c:v>8</c:v>
                </c:pt>
                <c:pt idx="778">
                  <c:v>14</c:v>
                </c:pt>
                <c:pt idx="779">
                  <c:v>15</c:v>
                </c:pt>
                <c:pt idx="780">
                  <c:v>6</c:v>
                </c:pt>
                <c:pt idx="781">
                  <c:v>9</c:v>
                </c:pt>
                <c:pt idx="782">
                  <c:v>8</c:v>
                </c:pt>
                <c:pt idx="783">
                  <c:v>3</c:v>
                </c:pt>
                <c:pt idx="784">
                  <c:v>3</c:v>
                </c:pt>
                <c:pt idx="785">
                  <c:v>10</c:v>
                </c:pt>
                <c:pt idx="786">
                  <c:v>17</c:v>
                </c:pt>
                <c:pt idx="787">
                  <c:v>3</c:v>
                </c:pt>
                <c:pt idx="788">
                  <c:v>7</c:v>
                </c:pt>
                <c:pt idx="789">
                  <c:v>2</c:v>
                </c:pt>
                <c:pt idx="790">
                  <c:v>4</c:v>
                </c:pt>
                <c:pt idx="791">
                  <c:v>3</c:v>
                </c:pt>
                <c:pt idx="792">
                  <c:v>0</c:v>
                </c:pt>
                <c:pt idx="793">
                  <c:v>3</c:v>
                </c:pt>
              </c:numCache>
            </c:numRef>
          </c:val>
          <c:extLst>
            <c:ext xmlns:c16="http://schemas.microsoft.com/office/drawing/2014/chart" uri="{C3380CC4-5D6E-409C-BE32-E72D297353CC}">
              <c16:uniqueId val="{00000000-575F-429B-B703-02286351687C}"/>
            </c:ext>
          </c:extLst>
        </c:ser>
        <c:dLbls>
          <c:showLegendKey val="0"/>
          <c:showVal val="0"/>
          <c:showCatName val="0"/>
          <c:showSerName val="0"/>
          <c:showPercent val="0"/>
          <c:showBubbleSize val="0"/>
        </c:dLbls>
        <c:gapWidth val="150"/>
        <c:axId val="296381056"/>
        <c:axId val="296379520"/>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Sheet1!$B$2:$B$795</c:f>
              <c:numCache>
                <c:formatCode>General</c:formatCode>
                <c:ptCount val="79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pt idx="574">
                  <c:v>259007</c:v>
                </c:pt>
                <c:pt idx="575">
                  <c:v>259779</c:v>
                </c:pt>
                <c:pt idx="576">
                  <c:v>260675</c:v>
                </c:pt>
                <c:pt idx="577">
                  <c:v>261697</c:v>
                </c:pt>
                <c:pt idx="578">
                  <c:v>262631</c:v>
                </c:pt>
                <c:pt idx="579">
                  <c:v>263783</c:v>
                </c:pt>
                <c:pt idx="580">
                  <c:v>264690</c:v>
                </c:pt>
                <c:pt idx="581">
                  <c:v>265317</c:v>
                </c:pt>
                <c:pt idx="582">
                  <c:v>266208</c:v>
                </c:pt>
                <c:pt idx="583">
                  <c:v>267363</c:v>
                </c:pt>
                <c:pt idx="584">
                  <c:v>268672</c:v>
                </c:pt>
                <c:pt idx="585">
                  <c:v>269874</c:v>
                </c:pt>
                <c:pt idx="586">
                  <c:v>271205</c:v>
                </c:pt>
                <c:pt idx="587">
                  <c:v>272356</c:v>
                </c:pt>
                <c:pt idx="588">
                  <c:v>272957</c:v>
                </c:pt>
                <c:pt idx="589">
                  <c:v>273860</c:v>
                </c:pt>
                <c:pt idx="590">
                  <c:v>275077</c:v>
                </c:pt>
                <c:pt idx="591">
                  <c:v>276666</c:v>
                </c:pt>
                <c:pt idx="592">
                  <c:v>278431</c:v>
                </c:pt>
                <c:pt idx="593">
                  <c:v>280294</c:v>
                </c:pt>
                <c:pt idx="594">
                  <c:v>281991</c:v>
                </c:pt>
                <c:pt idx="595">
                  <c:v>283183</c:v>
                </c:pt>
                <c:pt idx="596">
                  <c:v>284237</c:v>
                </c:pt>
                <c:pt idx="597">
                  <c:v>286303</c:v>
                </c:pt>
                <c:pt idx="598">
                  <c:v>288906</c:v>
                </c:pt>
                <c:pt idx="599">
                  <c:v>291052</c:v>
                </c:pt>
                <c:pt idx="600">
                  <c:v>293014</c:v>
                </c:pt>
                <c:pt idx="601">
                  <c:v>295368</c:v>
                </c:pt>
                <c:pt idx="602">
                  <c:v>296552</c:v>
                </c:pt>
                <c:pt idx="603">
                  <c:v>298069</c:v>
                </c:pt>
                <c:pt idx="604">
                  <c:v>300143</c:v>
                </c:pt>
                <c:pt idx="605">
                  <c:v>302450</c:v>
                </c:pt>
                <c:pt idx="606">
                  <c:v>304546</c:v>
                </c:pt>
                <c:pt idx="607">
                  <c:v>306739</c:v>
                </c:pt>
                <c:pt idx="608">
                  <c:v>308326</c:v>
                </c:pt>
                <c:pt idx="609">
                  <c:v>309397</c:v>
                </c:pt>
                <c:pt idx="610">
                  <c:v>310629</c:v>
                </c:pt>
                <c:pt idx="611">
                  <c:v>312674</c:v>
                </c:pt>
                <c:pt idx="612">
                  <c:v>315004</c:v>
                </c:pt>
                <c:pt idx="613">
                  <c:v>316839</c:v>
                </c:pt>
                <c:pt idx="614">
                  <c:v>319016</c:v>
                </c:pt>
                <c:pt idx="615">
                  <c:v>320433</c:v>
                </c:pt>
                <c:pt idx="616">
                  <c:v>321243</c:v>
                </c:pt>
                <c:pt idx="617">
                  <c:v>322364</c:v>
                </c:pt>
                <c:pt idx="618">
                  <c:v>324039</c:v>
                </c:pt>
                <c:pt idx="619">
                  <c:v>325521</c:v>
                </c:pt>
                <c:pt idx="620">
                  <c:v>326830</c:v>
                </c:pt>
                <c:pt idx="621">
                  <c:v>328081</c:v>
                </c:pt>
                <c:pt idx="622">
                  <c:v>328963</c:v>
                </c:pt>
                <c:pt idx="623">
                  <c:v>329341</c:v>
                </c:pt>
                <c:pt idx="624">
                  <c:v>329913</c:v>
                </c:pt>
                <c:pt idx="625">
                  <c:v>330895</c:v>
                </c:pt>
                <c:pt idx="626">
                  <c:v>331914</c:v>
                </c:pt>
                <c:pt idx="627">
                  <c:v>332713</c:v>
                </c:pt>
                <c:pt idx="628">
                  <c:v>333583</c:v>
                </c:pt>
                <c:pt idx="629">
                  <c:v>334075</c:v>
                </c:pt>
                <c:pt idx="630">
                  <c:v>334347</c:v>
                </c:pt>
                <c:pt idx="631">
                  <c:v>334878</c:v>
                </c:pt>
                <c:pt idx="632">
                  <c:v>335738</c:v>
                </c:pt>
                <c:pt idx="633">
                  <c:v>336330</c:v>
                </c:pt>
                <c:pt idx="634">
                  <c:v>337005</c:v>
                </c:pt>
                <c:pt idx="635">
                  <c:v>337522</c:v>
                </c:pt>
                <c:pt idx="636">
                  <c:v>337931</c:v>
                </c:pt>
                <c:pt idx="637">
                  <c:v>338120</c:v>
                </c:pt>
                <c:pt idx="638">
                  <c:v>338518</c:v>
                </c:pt>
                <c:pt idx="639">
                  <c:v>339020</c:v>
                </c:pt>
                <c:pt idx="640">
                  <c:v>339578</c:v>
                </c:pt>
                <c:pt idx="641">
                  <c:v>339977</c:v>
                </c:pt>
                <c:pt idx="642">
                  <c:v>340396</c:v>
                </c:pt>
                <c:pt idx="643">
                  <c:v>340723</c:v>
                </c:pt>
                <c:pt idx="644">
                  <c:v>340818</c:v>
                </c:pt>
                <c:pt idx="645">
                  <c:v>341058</c:v>
                </c:pt>
                <c:pt idx="646">
                  <c:v>341468</c:v>
                </c:pt>
                <c:pt idx="647">
                  <c:v>341768</c:v>
                </c:pt>
                <c:pt idx="648">
                  <c:v>342115</c:v>
                </c:pt>
                <c:pt idx="649">
                  <c:v>342405</c:v>
                </c:pt>
                <c:pt idx="650">
                  <c:v>342538</c:v>
                </c:pt>
                <c:pt idx="651">
                  <c:v>342604</c:v>
                </c:pt>
                <c:pt idx="652">
                  <c:v>342765</c:v>
                </c:pt>
                <c:pt idx="653">
                  <c:v>342977</c:v>
                </c:pt>
                <c:pt idx="654">
                  <c:v>343157</c:v>
                </c:pt>
                <c:pt idx="655">
                  <c:v>343350</c:v>
                </c:pt>
                <c:pt idx="656">
                  <c:v>343506</c:v>
                </c:pt>
                <c:pt idx="657">
                  <c:v>343636</c:v>
                </c:pt>
                <c:pt idx="658">
                  <c:v>343708</c:v>
                </c:pt>
                <c:pt idx="659">
                  <c:v>343845</c:v>
                </c:pt>
                <c:pt idx="660">
                  <c:v>343997</c:v>
                </c:pt>
                <c:pt idx="661">
                  <c:v>344126</c:v>
                </c:pt>
                <c:pt idx="662">
                  <c:v>344261</c:v>
                </c:pt>
                <c:pt idx="663">
                  <c:v>344379</c:v>
                </c:pt>
                <c:pt idx="664">
                  <c:v>344481</c:v>
                </c:pt>
                <c:pt idx="665">
                  <c:v>344540</c:v>
                </c:pt>
                <c:pt idx="666">
                  <c:v>344649</c:v>
                </c:pt>
                <c:pt idx="667">
                  <c:v>344737</c:v>
                </c:pt>
                <c:pt idx="668">
                  <c:v>344826</c:v>
                </c:pt>
                <c:pt idx="669">
                  <c:v>344930</c:v>
                </c:pt>
                <c:pt idx="670">
                  <c:v>344980</c:v>
                </c:pt>
                <c:pt idx="671">
                  <c:v>345007</c:v>
                </c:pt>
                <c:pt idx="672">
                  <c:v>345036</c:v>
                </c:pt>
                <c:pt idx="673">
                  <c:v>345126</c:v>
                </c:pt>
                <c:pt idx="674">
                  <c:v>345255</c:v>
                </c:pt>
                <c:pt idx="675">
                  <c:v>345389</c:v>
                </c:pt>
                <c:pt idx="676">
                  <c:v>345518</c:v>
                </c:pt>
                <c:pt idx="677">
                  <c:v>345713</c:v>
                </c:pt>
                <c:pt idx="678">
                  <c:v>345855</c:v>
                </c:pt>
                <c:pt idx="679">
                  <c:v>345981</c:v>
                </c:pt>
                <c:pt idx="680">
                  <c:v>346224</c:v>
                </c:pt>
                <c:pt idx="681">
                  <c:v>346513</c:v>
                </c:pt>
                <c:pt idx="682">
                  <c:v>346811</c:v>
                </c:pt>
                <c:pt idx="683">
                  <c:v>347084</c:v>
                </c:pt>
                <c:pt idx="684">
                  <c:v>347377</c:v>
                </c:pt>
                <c:pt idx="685">
                  <c:v>347617</c:v>
                </c:pt>
                <c:pt idx="686">
                  <c:v>347785</c:v>
                </c:pt>
                <c:pt idx="687">
                  <c:v>348145</c:v>
                </c:pt>
                <c:pt idx="688">
                  <c:v>348708</c:v>
                </c:pt>
                <c:pt idx="689">
                  <c:v>349329</c:v>
                </c:pt>
                <c:pt idx="690">
                  <c:v>349957</c:v>
                </c:pt>
                <c:pt idx="691">
                  <c:v>350897</c:v>
                </c:pt>
                <c:pt idx="692">
                  <c:v>351711</c:v>
                </c:pt>
                <c:pt idx="693">
                  <c:v>352399</c:v>
                </c:pt>
                <c:pt idx="694">
                  <c:v>353731</c:v>
                </c:pt>
                <c:pt idx="695">
                  <c:v>355662</c:v>
                </c:pt>
                <c:pt idx="696">
                  <c:v>358218</c:v>
                </c:pt>
                <c:pt idx="697">
                  <c:v>361754</c:v>
                </c:pt>
                <c:pt idx="698">
                  <c:v>364348</c:v>
                </c:pt>
                <c:pt idx="699">
                  <c:v>366433</c:v>
                </c:pt>
                <c:pt idx="700">
                  <c:v>367795</c:v>
                </c:pt>
                <c:pt idx="701">
                  <c:v>370922</c:v>
                </c:pt>
                <c:pt idx="702">
                  <c:v>374878</c:v>
                </c:pt>
                <c:pt idx="703">
                  <c:v>379266</c:v>
                </c:pt>
                <c:pt idx="704">
                  <c:v>383458</c:v>
                </c:pt>
                <c:pt idx="705">
                  <c:v>387490</c:v>
                </c:pt>
                <c:pt idx="706">
                  <c:v>389957</c:v>
                </c:pt>
                <c:pt idx="707">
                  <c:v>391588</c:v>
                </c:pt>
                <c:pt idx="708">
                  <c:v>394074</c:v>
                </c:pt>
                <c:pt idx="709">
                  <c:v>396885</c:v>
                </c:pt>
                <c:pt idx="710">
                  <c:v>399727</c:v>
                </c:pt>
                <c:pt idx="711">
                  <c:v>402403</c:v>
                </c:pt>
                <c:pt idx="712">
                  <c:v>404805</c:v>
                </c:pt>
                <c:pt idx="713">
                  <c:v>406379</c:v>
                </c:pt>
                <c:pt idx="714">
                  <c:v>407074</c:v>
                </c:pt>
                <c:pt idx="715">
                  <c:v>408381</c:v>
                </c:pt>
                <c:pt idx="716">
                  <c:v>410155</c:v>
                </c:pt>
                <c:pt idx="717">
                  <c:v>411878</c:v>
                </c:pt>
                <c:pt idx="718">
                  <c:v>413295</c:v>
                </c:pt>
                <c:pt idx="719">
                  <c:v>414764</c:v>
                </c:pt>
                <c:pt idx="720">
                  <c:v>415464</c:v>
                </c:pt>
                <c:pt idx="721">
                  <c:v>415757</c:v>
                </c:pt>
                <c:pt idx="722">
                  <c:v>416510</c:v>
                </c:pt>
                <c:pt idx="723">
                  <c:v>417456</c:v>
                </c:pt>
                <c:pt idx="724">
                  <c:v>418220</c:v>
                </c:pt>
                <c:pt idx="725">
                  <c:v>418792</c:v>
                </c:pt>
                <c:pt idx="726">
                  <c:v>419423</c:v>
                </c:pt>
                <c:pt idx="727">
                  <c:v>419693</c:v>
                </c:pt>
                <c:pt idx="728">
                  <c:v>419832</c:v>
                </c:pt>
                <c:pt idx="729">
                  <c:v>420156</c:v>
                </c:pt>
                <c:pt idx="730">
                  <c:v>420498</c:v>
                </c:pt>
                <c:pt idx="731">
                  <c:v>420757</c:v>
                </c:pt>
                <c:pt idx="732">
                  <c:v>421008</c:v>
                </c:pt>
                <c:pt idx="733">
                  <c:v>421226</c:v>
                </c:pt>
                <c:pt idx="734">
                  <c:v>421341</c:v>
                </c:pt>
                <c:pt idx="735">
                  <c:v>421401</c:v>
                </c:pt>
                <c:pt idx="736">
                  <c:v>421541</c:v>
                </c:pt>
                <c:pt idx="737">
                  <c:v>421592</c:v>
                </c:pt>
                <c:pt idx="738">
                  <c:v>421714</c:v>
                </c:pt>
                <c:pt idx="739">
                  <c:v>421842</c:v>
                </c:pt>
                <c:pt idx="740">
                  <c:v>421953</c:v>
                </c:pt>
                <c:pt idx="741">
                  <c:v>422004</c:v>
                </c:pt>
                <c:pt idx="742">
                  <c:v>422021</c:v>
                </c:pt>
                <c:pt idx="743">
                  <c:v>422076</c:v>
                </c:pt>
                <c:pt idx="744">
                  <c:v>422155</c:v>
                </c:pt>
                <c:pt idx="745">
                  <c:v>422202</c:v>
                </c:pt>
                <c:pt idx="746">
                  <c:v>422254</c:v>
                </c:pt>
                <c:pt idx="747">
                  <c:v>422286</c:v>
                </c:pt>
                <c:pt idx="748">
                  <c:v>422307</c:v>
                </c:pt>
                <c:pt idx="749">
                  <c:v>422328</c:v>
                </c:pt>
                <c:pt idx="750">
                  <c:v>422354</c:v>
                </c:pt>
                <c:pt idx="751">
                  <c:v>422382</c:v>
                </c:pt>
                <c:pt idx="752">
                  <c:v>422401</c:v>
                </c:pt>
                <c:pt idx="753">
                  <c:v>422423</c:v>
                </c:pt>
                <c:pt idx="754">
                  <c:v>422444</c:v>
                </c:pt>
                <c:pt idx="755">
                  <c:v>422458</c:v>
                </c:pt>
                <c:pt idx="756">
                  <c:v>422468</c:v>
                </c:pt>
                <c:pt idx="757">
                  <c:v>422484</c:v>
                </c:pt>
                <c:pt idx="758">
                  <c:v>422498</c:v>
                </c:pt>
                <c:pt idx="759">
                  <c:v>422519</c:v>
                </c:pt>
                <c:pt idx="760">
                  <c:v>422540</c:v>
                </c:pt>
                <c:pt idx="761">
                  <c:v>422552</c:v>
                </c:pt>
                <c:pt idx="762">
                  <c:v>422574</c:v>
                </c:pt>
                <c:pt idx="763">
                  <c:v>422581</c:v>
                </c:pt>
                <c:pt idx="764">
                  <c:v>422594</c:v>
                </c:pt>
                <c:pt idx="765">
                  <c:v>422610</c:v>
                </c:pt>
                <c:pt idx="766">
                  <c:v>422629</c:v>
                </c:pt>
                <c:pt idx="767">
                  <c:v>422643</c:v>
                </c:pt>
                <c:pt idx="768">
                  <c:v>422662</c:v>
                </c:pt>
                <c:pt idx="769">
                  <c:v>422677</c:v>
                </c:pt>
                <c:pt idx="770">
                  <c:v>422678</c:v>
                </c:pt>
                <c:pt idx="771">
                  <c:v>422691</c:v>
                </c:pt>
                <c:pt idx="772">
                  <c:v>422711</c:v>
                </c:pt>
                <c:pt idx="773">
                  <c:v>422721</c:v>
                </c:pt>
                <c:pt idx="774">
                  <c:v>422729</c:v>
                </c:pt>
                <c:pt idx="775">
                  <c:v>422747</c:v>
                </c:pt>
                <c:pt idx="776">
                  <c:v>422762</c:v>
                </c:pt>
                <c:pt idx="777">
                  <c:v>422770</c:v>
                </c:pt>
                <c:pt idx="778">
                  <c:v>422784</c:v>
                </c:pt>
                <c:pt idx="779">
                  <c:v>422799</c:v>
                </c:pt>
                <c:pt idx="780">
                  <c:v>422805</c:v>
                </c:pt>
                <c:pt idx="781">
                  <c:v>422814</c:v>
                </c:pt>
                <c:pt idx="782">
                  <c:v>422822</c:v>
                </c:pt>
                <c:pt idx="783">
                  <c:v>422825</c:v>
                </c:pt>
                <c:pt idx="784">
                  <c:v>422828</c:v>
                </c:pt>
                <c:pt idx="785">
                  <c:v>422838</c:v>
                </c:pt>
                <c:pt idx="786">
                  <c:v>422855</c:v>
                </c:pt>
                <c:pt idx="787">
                  <c:v>422858</c:v>
                </c:pt>
                <c:pt idx="788">
                  <c:v>422865</c:v>
                </c:pt>
                <c:pt idx="789">
                  <c:v>422867</c:v>
                </c:pt>
                <c:pt idx="790">
                  <c:v>422871</c:v>
                </c:pt>
                <c:pt idx="791">
                  <c:v>422874</c:v>
                </c:pt>
                <c:pt idx="792">
                  <c:v>422874</c:v>
                </c:pt>
                <c:pt idx="793">
                  <c:v>422877</c:v>
                </c:pt>
              </c:numCache>
            </c:numRef>
          </c:val>
          <c:smooth val="0"/>
          <c:extLst>
            <c:ext xmlns:c16="http://schemas.microsoft.com/office/drawing/2014/chart" uri="{C3380CC4-5D6E-409C-BE32-E72D297353CC}">
              <c16:uniqueId val="{00000001-575F-429B-B703-02286351687C}"/>
            </c:ext>
          </c:extLst>
        </c:ser>
        <c:dLbls>
          <c:showLegendKey val="0"/>
          <c:showVal val="0"/>
          <c:showCatName val="0"/>
          <c:showSerName val="0"/>
          <c:showPercent val="0"/>
          <c:showBubbleSize val="0"/>
        </c:dLbls>
        <c:marker val="1"/>
        <c:smooth val="0"/>
        <c:axId val="296621952"/>
        <c:axId val="296620416"/>
      </c:lineChart>
      <c:valAx>
        <c:axId val="296379520"/>
        <c:scaling>
          <c:orientation val="minMax"/>
        </c:scaling>
        <c:delete val="0"/>
        <c:axPos val="r"/>
        <c:numFmt formatCode="General" sourceLinked="1"/>
        <c:majorTickMark val="out"/>
        <c:minorTickMark val="none"/>
        <c:tickLblPos val="nextTo"/>
        <c:txPr>
          <a:bodyPr/>
          <a:lstStyle/>
          <a:p>
            <a:pPr>
              <a:defRPr sz="600" baseline="0">
                <a:latin typeface="GHEA Grapalat" pitchFamily="50" charset="0"/>
              </a:defRPr>
            </a:pPr>
            <a:endParaRPr lang="en-US"/>
          </a:p>
        </c:txPr>
        <c:crossAx val="296381056"/>
        <c:crosses val="max"/>
        <c:crossBetween val="between"/>
        <c:majorUnit val="500"/>
      </c:valAx>
      <c:catAx>
        <c:axId val="296381056"/>
        <c:scaling>
          <c:orientation val="minMax"/>
        </c:scaling>
        <c:delete val="0"/>
        <c:axPos val="b"/>
        <c:numFmt formatCode="General" sourceLinked="1"/>
        <c:majorTickMark val="out"/>
        <c:minorTickMark val="none"/>
        <c:tickLblPos val="nextTo"/>
        <c:txPr>
          <a:bodyPr/>
          <a:lstStyle/>
          <a:p>
            <a:pPr>
              <a:defRPr sz="500" baseline="0">
                <a:latin typeface="GHEA Grapalat" pitchFamily="50" charset="0"/>
              </a:defRPr>
            </a:pPr>
            <a:endParaRPr lang="en-US"/>
          </a:p>
        </c:txPr>
        <c:crossAx val="296379520"/>
        <c:crosses val="autoZero"/>
        <c:auto val="1"/>
        <c:lblAlgn val="ctr"/>
        <c:lblOffset val="100"/>
        <c:noMultiLvlLbl val="0"/>
      </c:catAx>
      <c:valAx>
        <c:axId val="296620416"/>
        <c:scaling>
          <c:orientation val="minMax"/>
        </c:scaling>
        <c:delete val="0"/>
        <c:axPos val="l"/>
        <c:numFmt formatCode="General" sourceLinked="1"/>
        <c:majorTickMark val="out"/>
        <c:minorTickMark val="none"/>
        <c:tickLblPos val="nextTo"/>
        <c:txPr>
          <a:bodyPr/>
          <a:lstStyle/>
          <a:p>
            <a:pPr>
              <a:defRPr sz="600" baseline="0">
                <a:latin typeface="GHEA Grapalat" pitchFamily="50" charset="0"/>
              </a:defRPr>
            </a:pPr>
            <a:endParaRPr lang="en-US"/>
          </a:p>
        </c:txPr>
        <c:crossAx val="296621952"/>
        <c:crosses val="autoZero"/>
        <c:crossBetween val="between"/>
      </c:valAx>
      <c:catAx>
        <c:axId val="296621952"/>
        <c:scaling>
          <c:orientation val="minMax"/>
        </c:scaling>
        <c:delete val="1"/>
        <c:axPos val="t"/>
        <c:numFmt formatCode="General" sourceLinked="1"/>
        <c:majorTickMark val="out"/>
        <c:minorTickMark val="none"/>
        <c:tickLblPos val="nextTo"/>
        <c:crossAx val="29662041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65000"/>
        </a:sys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8401449818773"/>
          <c:y val="7.3548873665592263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DE-4312-ADB5-76003D155855}"/>
                </c:ext>
              </c:extLst>
            </c:dLbl>
            <c:dLbl>
              <c:idx val="1"/>
              <c:layout>
                <c:manualLayout>
                  <c:x val="-5.1400554097404488E-2"/>
                  <c:y val="3.1696629319184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DE-4312-ADB5-76003D155855}"/>
                </c:ext>
              </c:extLst>
            </c:dLbl>
            <c:dLbl>
              <c:idx val="3"/>
              <c:layout>
                <c:manualLayout>
                  <c:x val="-1.6885839527348963E-2"/>
                  <c:y val="5.3933480879279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DE-4312-ADB5-76003D155855}"/>
                </c:ext>
              </c:extLst>
            </c:dLbl>
            <c:dLbl>
              <c:idx val="4"/>
              <c:layout>
                <c:manualLayout>
                  <c:x val="-5.0019133543127009E-2"/>
                  <c:y val="5.9532585022616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DE-4312-ADB5-76003D155855}"/>
                </c:ext>
              </c:extLst>
            </c:dLbl>
            <c:dLbl>
              <c:idx val="5"/>
              <c:layout>
                <c:manualLayout>
                  <c:x val="-5.4526546102834916E-2"/>
                  <c:y val="4.833437673594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DE-4312-ADB5-76003D155855}"/>
                </c:ext>
              </c:extLst>
            </c:dLbl>
            <c:dLbl>
              <c:idx val="6"/>
              <c:layout>
                <c:manualLayout>
                  <c:x val="-5.0019133543127009E-2"/>
                  <c:y val="4.2735272592605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DE-4312-ADB5-76003D15585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37.709448974290979</c:v>
                </c:pt>
                <c:pt idx="1">
                  <c:v>29.180712241821226</c:v>
                </c:pt>
                <c:pt idx="2">
                  <c:v>18.365371181571845</c:v>
                </c:pt>
              </c:numCache>
            </c:numRef>
          </c:val>
          <c:smooth val="0"/>
          <c:extLst>
            <c:ext xmlns:c16="http://schemas.microsoft.com/office/drawing/2014/chart" uri="{C3380CC4-5D6E-409C-BE32-E72D297353CC}">
              <c16:uniqueId val="{00000006-98DE-4312-ADB5-76003D1558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9.3415209891216433E-2"/>
                  <c:y val="-3.6250955394025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DE-4312-ADB5-76003D155855}"/>
                </c:ext>
              </c:extLst>
            </c:dLbl>
            <c:dLbl>
              <c:idx val="1"/>
              <c:layout>
                <c:manualLayout>
                  <c:x val="-5.5298190642121638E-2"/>
                  <c:y val="-5.9023514460350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DE-4312-ADB5-76003D155855}"/>
                </c:ext>
              </c:extLst>
            </c:dLbl>
            <c:dLbl>
              <c:idx val="2"/>
              <c:layout>
                <c:manualLayout>
                  <c:x val="-6.4170151972856027E-2"/>
                  <c:y val="-5.9023514460350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DE-4312-ADB5-76003D15585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3.0137601746589979</c:v>
                </c:pt>
                <c:pt idx="1">
                  <c:v>0.34687877439499459</c:v>
                </c:pt>
                <c:pt idx="2">
                  <c:v>-0.48894063361730389</c:v>
                </c:pt>
              </c:numCache>
            </c:numRef>
          </c:val>
          <c:smooth val="0"/>
          <c:extLst>
            <c:ext xmlns:c16="http://schemas.microsoft.com/office/drawing/2014/chart" uri="{C3380CC4-5D6E-409C-BE32-E72D297353CC}">
              <c16:uniqueId val="{0000000A-98DE-4312-ADB5-76003D155855}"/>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c:ext xmlns:c16="http://schemas.microsoft.com/office/drawing/2014/chart" uri="{C3380CC4-5D6E-409C-BE32-E72D297353CC}">
              <c16:uniqueId val="{0000000B-98DE-4312-ADB5-76003D155855}"/>
            </c:ext>
          </c:extLst>
        </c:ser>
        <c:dLbls>
          <c:showLegendKey val="0"/>
          <c:showVal val="0"/>
          <c:showCatName val="0"/>
          <c:showSerName val="0"/>
          <c:showPercent val="0"/>
          <c:showBubbleSize val="0"/>
        </c:dLbls>
        <c:marker val="1"/>
        <c:smooth val="0"/>
        <c:axId val="308098944"/>
        <c:axId val="308100480"/>
      </c:lineChart>
      <c:catAx>
        <c:axId val="30809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100480"/>
        <c:crosses val="autoZero"/>
        <c:auto val="1"/>
        <c:lblAlgn val="ctr"/>
        <c:lblOffset val="100"/>
        <c:noMultiLvlLbl val="0"/>
      </c:catAx>
      <c:valAx>
        <c:axId val="308100480"/>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098944"/>
        <c:crosses val="autoZero"/>
        <c:crossBetween val="between"/>
        <c:majorUnit val="5"/>
      </c:valAx>
      <c:spPr>
        <a:solidFill>
          <a:sysClr val="window" lastClr="FFFFFF"/>
        </a:solidFill>
        <a:ln>
          <a:noFill/>
        </a:ln>
        <a:effectLst/>
      </c:spPr>
    </c:plotArea>
    <c:legend>
      <c:legendPos val="b"/>
      <c:layout>
        <c:manualLayout>
          <c:xMode val="edge"/>
          <c:yMode val="edge"/>
          <c:x val="4.3469909314508927E-2"/>
          <c:y val="0.83799655273662943"/>
          <c:w val="0.83833333333333337"/>
          <c:h val="0.162002803960815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0.14294776533215039"/>
                  <c:y val="2.058001428432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2-4297-B0D6-9E6EDF5EB867}"/>
                </c:ext>
              </c:extLst>
            </c:dLbl>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53.4</c:v>
                </c:pt>
                <c:pt idx="1">
                  <c:v>30.3</c:v>
                </c:pt>
                <c:pt idx="2">
                  <c:v>4</c:v>
                </c:pt>
              </c:numCache>
            </c:numRef>
          </c:val>
          <c:smooth val="0"/>
          <c:extLst>
            <c:ext xmlns:c16="http://schemas.microsoft.com/office/drawing/2014/chart" uri="{C3380CC4-5D6E-409C-BE32-E72D297353CC}">
              <c16:uniqueId val="{00000001-0C12-4297-B0D6-9E6EDF5EB867}"/>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2-0C12-4297-B0D6-9E6EDF5EB867}"/>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53.400000000000006</c:v>
                </c:pt>
                <c:pt idx="1">
                  <c:v>40.744318711730557</c:v>
                </c:pt>
                <c:pt idx="2">
                  <c:v>26.925816654057883</c:v>
                </c:pt>
              </c:numCache>
            </c:numRef>
          </c:val>
          <c:smooth val="0"/>
          <c:extLst>
            <c:ext xmlns:c16="http://schemas.microsoft.com/office/drawing/2014/chart" uri="{C3380CC4-5D6E-409C-BE32-E72D297353CC}">
              <c16:uniqueId val="{00000003-0C12-4297-B0D6-9E6EDF5EB867}"/>
            </c:ext>
          </c:extLst>
        </c:ser>
        <c:dLbls>
          <c:showLegendKey val="0"/>
          <c:showVal val="0"/>
          <c:showCatName val="0"/>
          <c:showSerName val="0"/>
          <c:showPercent val="0"/>
          <c:showBubbleSize val="0"/>
        </c:dLbls>
        <c:marker val="1"/>
        <c:smooth val="0"/>
        <c:axId val="309435776"/>
        <c:axId val="309458048"/>
      </c:lineChart>
      <c:catAx>
        <c:axId val="309435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58048"/>
        <c:crosses val="autoZero"/>
        <c:auto val="1"/>
        <c:lblAlgn val="ctr"/>
        <c:lblOffset val="100"/>
        <c:noMultiLvlLbl val="0"/>
      </c:catAx>
      <c:valAx>
        <c:axId val="3094580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35776"/>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9-4FA7-828F-93ACB06BC153}"/>
                </c:ext>
              </c:extLst>
            </c:dLbl>
            <c:dLbl>
              <c:idx val="1"/>
              <c:layout>
                <c:manualLayout>
                  <c:x val="-8.1151978427181498E-2"/>
                  <c:y val="7.7177302761282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C9-4FA7-828F-93ACB06BC153}"/>
                </c:ext>
              </c:extLst>
            </c:dLbl>
            <c:dLbl>
              <c:idx val="2"/>
              <c:layout>
                <c:manualLayout>
                  <c:x val="-6.1338338710759527E-2"/>
                  <c:y val="-5.1636815504283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C9-4FA7-828F-93ACB06BC153}"/>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C9-4FA7-828F-93ACB06BC153}"/>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C9-4FA7-828F-93ACB06BC153}"/>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C9-4FA7-828F-93ACB06BC153}"/>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C9-4FA7-828F-93ACB06BC153}"/>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C9-4FA7-828F-93ACB06BC153}"/>
                </c:ext>
              </c:extLst>
            </c:dLbl>
            <c:dLbl>
              <c:idx val="8"/>
              <c:layout>
                <c:manualLayout>
                  <c:x val="-5.6255298645376532E-2"/>
                  <c:y val="-3.572055010574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C9-4FA7-828F-93ACB06BC153}"/>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39.847853096099129</c:v>
                </c:pt>
                <c:pt idx="1">
                  <c:v>37.985892509050274</c:v>
                </c:pt>
                <c:pt idx="2">
                  <c:v>25.609252305882805</c:v>
                </c:pt>
              </c:numCache>
            </c:numRef>
          </c:val>
          <c:smooth val="0"/>
          <c:extLst>
            <c:ext xmlns:c16="http://schemas.microsoft.com/office/drawing/2014/chart" uri="{C3380CC4-5D6E-409C-BE32-E72D297353CC}">
              <c16:uniqueId val="{00000009-C5C9-4FA7-828F-93ACB06BC153}"/>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10.69634230785627</c:v>
                </c:pt>
                <c:pt idx="1">
                  <c:v>7.1384761608398435</c:v>
                </c:pt>
                <c:pt idx="2">
                  <c:v>7.6338267677303406</c:v>
                </c:pt>
              </c:numCache>
            </c:numRef>
          </c:val>
          <c:smooth val="0"/>
          <c:extLst>
            <c:ext xmlns:c16="http://schemas.microsoft.com/office/drawing/2014/chart" uri="{C3380CC4-5D6E-409C-BE32-E72D297353CC}">
              <c16:uniqueId val="{0000000A-C5C9-4FA7-828F-93ACB06BC153}"/>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c:ext xmlns:c16="http://schemas.microsoft.com/office/drawing/2014/chart" uri="{C3380CC4-5D6E-409C-BE32-E72D297353CC}">
              <c16:uniqueId val="{0000000B-C5C9-4FA7-828F-93ACB06BC153}"/>
            </c:ext>
          </c:extLst>
        </c:ser>
        <c:dLbls>
          <c:showLegendKey val="0"/>
          <c:showVal val="0"/>
          <c:showCatName val="0"/>
          <c:showSerName val="0"/>
          <c:showPercent val="0"/>
          <c:showBubbleSize val="0"/>
        </c:dLbls>
        <c:marker val="1"/>
        <c:smooth val="0"/>
        <c:axId val="309855360"/>
        <c:axId val="309856896"/>
      </c:lineChart>
      <c:catAx>
        <c:axId val="309855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6896"/>
        <c:crosses val="autoZero"/>
        <c:auto val="1"/>
        <c:lblAlgn val="ctr"/>
        <c:lblOffset val="100"/>
        <c:noMultiLvlLbl val="0"/>
      </c:catAx>
      <c:valAx>
        <c:axId val="309856896"/>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536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67.400000000000006</c:v>
                </c:pt>
                <c:pt idx="1">
                  <c:v>55.1</c:v>
                </c:pt>
                <c:pt idx="2">
                  <c:v>22.5</c:v>
                </c:pt>
              </c:numCache>
            </c:numRef>
          </c:val>
          <c:smooth val="0"/>
          <c:extLst>
            <c:ext xmlns:c16="http://schemas.microsoft.com/office/drawing/2014/chart" uri="{C3380CC4-5D6E-409C-BE32-E72D297353CC}">
              <c16:uniqueId val="{00000000-2DD3-4784-A54C-9B32B851C45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6.5506804865131343E-2"/>
                  <c:y val="-5.3956834532374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3-4784-A54C-9B32B851C459}"/>
                </c:ext>
              </c:extLst>
            </c:dLbl>
            <c:dLbl>
              <c:idx val="2"/>
              <c:layout>
                <c:manualLayout>
                  <c:x val="-7.4879005117576045E-2"/>
                  <c:y val="-0.107913669064748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3-4784-A54C-9B32B851C4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67.400000000000006</c:v>
                </c:pt>
                <c:pt idx="1">
                  <c:v>60.512730231304914</c:v>
                </c:pt>
                <c:pt idx="2">
                  <c:v>45.688195497117391</c:v>
                </c:pt>
              </c:numCache>
            </c:numRef>
          </c:val>
          <c:smooth val="0"/>
          <c:extLst>
            <c:ext xmlns:c16="http://schemas.microsoft.com/office/drawing/2014/chart" uri="{C3380CC4-5D6E-409C-BE32-E72D297353CC}">
              <c16:uniqueId val="{00000003-2DD3-4784-A54C-9B32B851C459}"/>
            </c:ext>
          </c:extLst>
        </c:ser>
        <c:dLbls>
          <c:dLblPos val="t"/>
          <c:showLegendKey val="0"/>
          <c:showVal val="1"/>
          <c:showCatName val="0"/>
          <c:showSerName val="0"/>
          <c:showPercent val="0"/>
          <c:showBubbleSize val="0"/>
        </c:dLbls>
        <c:marker val="1"/>
        <c:smooth val="0"/>
        <c:axId val="311732864"/>
        <c:axId val="311742848"/>
      </c:lineChart>
      <c:catAx>
        <c:axId val="311732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42848"/>
        <c:crosses val="autoZero"/>
        <c:auto val="1"/>
        <c:lblAlgn val="ctr"/>
        <c:lblOffset val="100"/>
        <c:noMultiLvlLbl val="0"/>
      </c:catAx>
      <c:valAx>
        <c:axId val="3117428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3286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66.141064834144274</c:v>
                </c:pt>
                <c:pt idx="1">
                  <c:v>63.570408563112103</c:v>
                </c:pt>
                <c:pt idx="2">
                  <c:v>65.094783811268016</c:v>
                </c:pt>
                <c:pt idx="3">
                  <c:v>72.790297505199675</c:v>
                </c:pt>
                <c:pt idx="4">
                  <c:v>63.998605965932796</c:v>
                </c:pt>
              </c:numCache>
            </c:numRef>
          </c:val>
          <c:extLst>
            <c:ext xmlns:c16="http://schemas.microsoft.com/office/drawing/2014/chart" uri="{C3380CC4-5D6E-409C-BE32-E72D297353CC}">
              <c16:uniqueId val="{00000000-BDCE-4081-B8BA-254BEE71A9AE}"/>
            </c:ext>
          </c:extLst>
        </c:ser>
        <c:dLbls>
          <c:showLegendKey val="0"/>
          <c:showVal val="0"/>
          <c:showCatName val="0"/>
          <c:showSerName val="0"/>
          <c:showPercent val="0"/>
          <c:showBubbleSize val="0"/>
        </c:dLbls>
        <c:gapWidth val="150"/>
        <c:axId val="312836864"/>
        <c:axId val="312838400"/>
      </c:barChart>
      <c:catAx>
        <c:axId val="312836864"/>
        <c:scaling>
          <c:orientation val="minMax"/>
        </c:scaling>
        <c:delete val="0"/>
        <c:axPos val="l"/>
        <c:numFmt formatCode="General" sourceLinked="1"/>
        <c:majorTickMark val="out"/>
        <c:minorTickMark val="none"/>
        <c:tickLblPos val="nextTo"/>
        <c:crossAx val="312838400"/>
        <c:crosses val="autoZero"/>
        <c:auto val="1"/>
        <c:lblAlgn val="ctr"/>
        <c:lblOffset val="100"/>
        <c:tickLblSkip val="1"/>
        <c:noMultiLvlLbl val="0"/>
      </c:catAx>
      <c:valAx>
        <c:axId val="312838400"/>
        <c:scaling>
          <c:orientation val="minMax"/>
        </c:scaling>
        <c:delete val="0"/>
        <c:axPos val="b"/>
        <c:majorGridlines/>
        <c:numFmt formatCode="0.0" sourceLinked="1"/>
        <c:majorTickMark val="out"/>
        <c:minorTickMark val="none"/>
        <c:tickLblPos val="nextTo"/>
        <c:crossAx val="312836864"/>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Sheet1!$B$2:$B$312</c:f>
              <c:numCache>
                <c:formatCode>_(* #,##0_);_(* \(#,##0\);_(* "-"??_);_(@_)</c:formatCode>
                <c:ptCount val="311"/>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numCache>
            </c:numRef>
          </c:val>
          <c:smooth val="0"/>
          <c:extLst>
            <c:ext xmlns:c16="http://schemas.microsoft.com/office/drawing/2014/chart" uri="{C3380CC4-5D6E-409C-BE32-E72D297353CC}">
              <c16:uniqueId val="{00000000-E23C-49A8-A6F5-C9FD8A32F5AA}"/>
            </c:ext>
          </c:extLst>
        </c:ser>
        <c:ser>
          <c:idx val="1"/>
          <c:order val="1"/>
          <c:tx>
            <c:strRef>
              <c:f>Sheet1!$C$1</c:f>
              <c:strCache>
                <c:ptCount val="1"/>
                <c:pt idx="0">
                  <c:v>RUB</c:v>
                </c:pt>
              </c:strCache>
            </c:strRef>
          </c:tx>
          <c:spPr>
            <a:ln w="28575" cap="rnd">
              <a:solidFill>
                <a:srgbClr val="FFC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Sheet1!$C$2:$C$312</c:f>
              <c:numCache>
                <c:formatCode>_(* #,##0_);_(* \(#,##0\);_(* "-"??_);_(@_)</c:formatCode>
                <c:ptCount val="311"/>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numCache>
            </c:numRef>
          </c:val>
          <c:smooth val="0"/>
          <c:extLst>
            <c:ext xmlns:c16="http://schemas.microsoft.com/office/drawing/2014/chart" uri="{C3380CC4-5D6E-409C-BE32-E72D297353CC}">
              <c16:uniqueId val="{00000001-E23C-49A8-A6F5-C9FD8A32F5AA}"/>
            </c:ext>
          </c:extLst>
        </c:ser>
        <c:ser>
          <c:idx val="2"/>
          <c:order val="2"/>
          <c:tx>
            <c:strRef>
              <c:f>Sheet1!$D$1</c:f>
              <c:strCache>
                <c:ptCount val="1"/>
                <c:pt idx="0">
                  <c:v>EUR</c:v>
                </c:pt>
              </c:strCache>
            </c:strRef>
          </c:tx>
          <c:spPr>
            <a:ln w="28575" cap="rnd">
              <a:solidFill>
                <a:srgbClr val="C00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Sheet1!$D$2:$D$312</c:f>
              <c:numCache>
                <c:formatCode>_(* #,##0_);_(* \(#,##0\);_(* "-"??_);_(@_)</c:formatCode>
                <c:ptCount val="311"/>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numCache>
            </c:numRef>
          </c:val>
          <c:smooth val="0"/>
          <c:extLst>
            <c:ext xmlns:c16="http://schemas.microsoft.com/office/drawing/2014/chart" uri="{C3380CC4-5D6E-409C-BE32-E72D297353CC}">
              <c16:uniqueId val="{00000002-E23C-49A8-A6F5-C9FD8A32F5AA}"/>
            </c:ext>
          </c:extLst>
        </c:ser>
        <c:dLbls>
          <c:showLegendKey val="0"/>
          <c:showVal val="0"/>
          <c:showCatName val="0"/>
          <c:showSerName val="0"/>
          <c:showPercent val="0"/>
          <c:showBubbleSize val="0"/>
        </c:dLbls>
        <c:smooth val="0"/>
        <c:axId val="313468416"/>
        <c:axId val="313469952"/>
      </c:lineChart>
      <c:dateAx>
        <c:axId val="3134684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3469952"/>
        <c:crosses val="autoZero"/>
        <c:auto val="1"/>
        <c:lblOffset val="100"/>
        <c:baseTimeUnit val="days"/>
      </c:dateAx>
      <c:valAx>
        <c:axId val="313469952"/>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468416"/>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Sheet1!$B$2:$B$63</c:f>
              <c:numCache>
                <c:formatCode>0.0</c:formatCode>
                <c:ptCount val="26"/>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-2.3067767702671205</c:v>
                </c:pt>
                <c:pt idx="23">
                  <c:v>-1.4130910134041983</c:v>
                </c:pt>
                <c:pt idx="24">
                  <c:v>10.243414947533708</c:v>
                </c:pt>
                <c:pt idx="25">
                  <c:v>9.6242536913231334</c:v>
                </c:pt>
              </c:numCache>
            </c:numRef>
          </c:val>
          <c:smooth val="0"/>
          <c:extLst>
            <c:ext xmlns:c16="http://schemas.microsoft.com/office/drawing/2014/chart" uri="{C3380CC4-5D6E-409C-BE32-E72D297353CC}">
              <c16:uniqueId val="{00000000-7A46-4901-AF05-E073B3EDA1B3}"/>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Sheet1!$C$2:$C$63</c:f>
              <c:numCache>
                <c:formatCode>0.0</c:formatCode>
                <c:ptCount val="26"/>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-1.6342792528553929</c:v>
                </c:pt>
                <c:pt idx="24">
                  <c:v>13.130726104198004</c:v>
                </c:pt>
                <c:pt idx="25">
                  <c:v>13.118036658623012</c:v>
                </c:pt>
              </c:numCache>
            </c:numRef>
          </c:val>
          <c:smooth val="0"/>
          <c:extLst>
            <c:ext xmlns:c16="http://schemas.microsoft.com/office/drawing/2014/chart" uri="{C3380CC4-5D6E-409C-BE32-E72D297353CC}">
              <c16:uniqueId val="{00000001-7A46-4901-AF05-E073B3EDA1B3}"/>
            </c:ext>
          </c:extLst>
        </c:ser>
        <c:dLbls>
          <c:showLegendKey val="0"/>
          <c:showVal val="0"/>
          <c:showCatName val="0"/>
          <c:showSerName val="0"/>
          <c:showPercent val="0"/>
          <c:showBubbleSize val="0"/>
        </c:dLbls>
        <c:smooth val="0"/>
        <c:axId val="314095104"/>
        <c:axId val="314096640"/>
      </c:lineChart>
      <c:catAx>
        <c:axId val="31409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4096640"/>
        <c:crosses val="autoZero"/>
        <c:auto val="1"/>
        <c:lblAlgn val="ctr"/>
        <c:lblOffset val="100"/>
        <c:noMultiLvlLbl val="0"/>
      </c:catAx>
      <c:valAx>
        <c:axId val="31409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95104"/>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58980825578620855"/>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91B6-48B0-8E9D-20BECB45FB6C}"/>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91B6-48B0-8E9D-20BECB45FB6C}"/>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91B6-48B0-8E9D-20BECB45FB6C}"/>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numCache>
            </c:numRef>
          </c:val>
          <c:smooth val="0"/>
          <c:extLst>
            <c:ext xmlns:c16="http://schemas.microsoft.com/office/drawing/2014/chart" uri="{C3380CC4-5D6E-409C-BE32-E72D297353CC}">
              <c16:uniqueId val="{00000003-91B6-48B0-8E9D-20BECB45FB6C}"/>
            </c:ext>
          </c:extLst>
        </c:ser>
        <c:dLbls>
          <c:showLegendKey val="0"/>
          <c:showVal val="0"/>
          <c:showCatName val="0"/>
          <c:showSerName val="0"/>
          <c:showPercent val="0"/>
          <c:showBubbleSize val="0"/>
        </c:dLbls>
        <c:marker val="1"/>
        <c:smooth val="0"/>
        <c:axId val="314462208"/>
        <c:axId val="314463744"/>
      </c:lineChart>
      <c:catAx>
        <c:axId val="314462208"/>
        <c:scaling>
          <c:orientation val="minMax"/>
        </c:scaling>
        <c:delete val="0"/>
        <c:axPos val="b"/>
        <c:numFmt formatCode="General" sourceLinked="1"/>
        <c:majorTickMark val="out"/>
        <c:minorTickMark val="none"/>
        <c:tickLblPos val="low"/>
        <c:crossAx val="314463744"/>
        <c:crosses val="autoZero"/>
        <c:auto val="1"/>
        <c:lblAlgn val="ctr"/>
        <c:lblOffset val="400"/>
        <c:noMultiLvlLbl val="0"/>
      </c:catAx>
      <c:valAx>
        <c:axId val="314463744"/>
        <c:scaling>
          <c:orientation val="minMax"/>
          <c:min val="-10"/>
        </c:scaling>
        <c:delete val="0"/>
        <c:axPos val="l"/>
        <c:majorGridlines>
          <c:spPr>
            <a:ln w="6350"/>
          </c:spPr>
        </c:majorGridlines>
        <c:numFmt formatCode="0.0" sourceLinked="1"/>
        <c:majorTickMark val="out"/>
        <c:minorTickMark val="none"/>
        <c:tickLblPos val="nextTo"/>
        <c:crossAx val="314462208"/>
        <c:crosses val="autoZero"/>
        <c:crossBetween val="between"/>
      </c:valAx>
    </c:plotArea>
    <c:legend>
      <c:legendPos val="r"/>
      <c:layout>
        <c:manualLayout>
          <c:xMode val="edge"/>
          <c:yMode val="edge"/>
          <c:x val="0.12427853297998867"/>
          <c:y val="0.92452742187713688"/>
          <c:w val="0.82749482401656316"/>
          <c:h val="7.5472584108804586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5653980113799643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8D78-43C4-8FAD-103070B0E667}"/>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8D78-43C4-8FAD-103070B0E667}"/>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8D78-43C4-8FAD-103070B0E667}"/>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numCache>
            </c:numRef>
          </c:val>
          <c:smooth val="0"/>
          <c:extLst>
            <c:ext xmlns:c16="http://schemas.microsoft.com/office/drawing/2014/chart" uri="{C3380CC4-5D6E-409C-BE32-E72D297353CC}">
              <c16:uniqueId val="{00000003-8D78-43C4-8FAD-103070B0E667}"/>
            </c:ext>
          </c:extLst>
        </c:ser>
        <c:dLbls>
          <c:showLegendKey val="0"/>
          <c:showVal val="0"/>
          <c:showCatName val="0"/>
          <c:showSerName val="0"/>
          <c:showPercent val="0"/>
          <c:showBubbleSize val="0"/>
        </c:dLbls>
        <c:marker val="1"/>
        <c:smooth val="0"/>
        <c:axId val="314562816"/>
        <c:axId val="314568704"/>
      </c:lineChart>
      <c:catAx>
        <c:axId val="314562816"/>
        <c:scaling>
          <c:orientation val="minMax"/>
        </c:scaling>
        <c:delete val="0"/>
        <c:axPos val="b"/>
        <c:numFmt formatCode="General" sourceLinked="1"/>
        <c:majorTickMark val="out"/>
        <c:minorTickMark val="none"/>
        <c:tickLblPos val="nextTo"/>
        <c:txPr>
          <a:bodyPr rot="0" vert="horz"/>
          <a:lstStyle/>
          <a:p>
            <a:pPr>
              <a:defRPr/>
            </a:pPr>
            <a:endParaRPr lang="en-US"/>
          </a:p>
        </c:txPr>
        <c:crossAx val="314568704"/>
        <c:crosses val="autoZero"/>
        <c:auto val="1"/>
        <c:lblAlgn val="ctr"/>
        <c:lblOffset val="100"/>
        <c:noMultiLvlLbl val="0"/>
      </c:catAx>
      <c:valAx>
        <c:axId val="314568704"/>
        <c:scaling>
          <c:orientation val="minMax"/>
        </c:scaling>
        <c:delete val="0"/>
        <c:axPos val="l"/>
        <c:majorGridlines>
          <c:spPr>
            <a:ln w="6350"/>
          </c:spPr>
        </c:majorGridlines>
        <c:numFmt formatCode="0.0" sourceLinked="1"/>
        <c:majorTickMark val="out"/>
        <c:minorTickMark val="none"/>
        <c:tickLblPos val="nextTo"/>
        <c:crossAx val="314562816"/>
        <c:crosses val="autoZero"/>
        <c:crossBetween val="between"/>
      </c:valAx>
    </c:plotArea>
    <c:legend>
      <c:legendPos val="r"/>
      <c:layout>
        <c:manualLayout>
          <c:xMode val="edge"/>
          <c:yMode val="edge"/>
          <c:x val="0.10231869793449731"/>
          <c:y val="0.92381713288283951"/>
          <c:w val="0.752"/>
          <c:h val="7.6182922390175684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c:ext xmlns:c16="http://schemas.microsoft.com/office/drawing/2014/chart" uri="{C3380CC4-5D6E-409C-BE32-E72D297353CC}">
              <c16:uniqueId val="{00000000-6425-4202-AE3D-4C17F6C635C3}"/>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425-4202-AE3D-4C17F6C635C3}"/>
                </c:ext>
              </c:extLst>
            </c:dLbl>
            <c:dLbl>
              <c:idx val="1"/>
              <c:layout>
                <c:manualLayout>
                  <c:x val="-2.116402116402097E-3"/>
                  <c:y val="0.361648856392950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25-4202-AE3D-4C17F6C635C3}"/>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numCache>
            </c:numRef>
          </c:val>
          <c:extLst>
            <c:ext xmlns:c16="http://schemas.microsoft.com/office/drawing/2014/chart" uri="{C3380CC4-5D6E-409C-BE32-E72D297353CC}">
              <c16:uniqueId val="{00000003-6425-4202-AE3D-4C17F6C635C3}"/>
            </c:ext>
          </c:extLst>
        </c:ser>
        <c:dLbls>
          <c:showLegendKey val="0"/>
          <c:showVal val="0"/>
          <c:showCatName val="0"/>
          <c:showSerName val="0"/>
          <c:showPercent val="0"/>
          <c:showBubbleSize val="0"/>
        </c:dLbls>
        <c:gapWidth val="128"/>
        <c:axId val="314444416"/>
        <c:axId val="314753408"/>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c:ext xmlns:c16="http://schemas.microsoft.com/office/drawing/2014/chart" uri="{C3380CC4-5D6E-409C-BE32-E72D297353CC}">
              <c16:uniqueId val="{00000004-6425-4202-AE3D-4C17F6C635C3}"/>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numCache>
            </c:numRef>
          </c:val>
          <c:smooth val="0"/>
          <c:extLst>
            <c:ext xmlns:c16="http://schemas.microsoft.com/office/drawing/2014/chart" uri="{C3380CC4-5D6E-409C-BE32-E72D297353CC}">
              <c16:uniqueId val="{00000005-6425-4202-AE3D-4C17F6C635C3}"/>
            </c:ext>
          </c:extLst>
        </c:ser>
        <c:dLbls>
          <c:showLegendKey val="0"/>
          <c:showVal val="0"/>
          <c:showCatName val="0"/>
          <c:showSerName val="0"/>
          <c:showPercent val="0"/>
          <c:showBubbleSize val="0"/>
        </c:dLbls>
        <c:marker val="1"/>
        <c:smooth val="0"/>
        <c:axId val="314444416"/>
        <c:axId val="314753408"/>
      </c:lineChart>
      <c:catAx>
        <c:axId val="314444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753408"/>
        <c:crosses val="autoZero"/>
        <c:auto val="1"/>
        <c:lblAlgn val="ctr"/>
        <c:lblOffset val="100"/>
        <c:noMultiLvlLbl val="0"/>
      </c:catAx>
      <c:valAx>
        <c:axId val="3147534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444416"/>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16.599999999999994</c:v>
                </c:pt>
                <c:pt idx="1">
                  <c:v>9.0064756341384111</c:v>
                </c:pt>
                <c:pt idx="2">
                  <c:v>3.0999999999999943</c:v>
                </c:pt>
              </c:numCache>
            </c:numRef>
          </c:val>
          <c:extLst>
            <c:ext xmlns:c16="http://schemas.microsoft.com/office/drawing/2014/chart" uri="{C3380CC4-5D6E-409C-BE32-E72D297353CC}">
              <c16:uniqueId val="{00000000-216B-4C38-89F5-38F7DF74168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-5.4000000000000057</c:v>
                </c:pt>
              </c:numCache>
            </c:numRef>
          </c:val>
          <c:extLst>
            <c:ext xmlns:c16="http://schemas.microsoft.com/office/drawing/2014/chart" uri="{C3380CC4-5D6E-409C-BE32-E72D297353CC}">
              <c16:uniqueId val="{00000001-216B-4C38-89F5-38F7DF74168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3</c:v>
                </c:pt>
                <c:pt idx="1">
                  <c:v>4.9000000000000057</c:v>
                </c:pt>
                <c:pt idx="2">
                  <c:v>6.2000000000000028</c:v>
                </c:pt>
              </c:numCache>
            </c:numRef>
          </c:val>
          <c:extLst>
            <c:ext xmlns:c16="http://schemas.microsoft.com/office/drawing/2014/chart" uri="{C3380CC4-5D6E-409C-BE32-E72D297353CC}">
              <c16:uniqueId val="{00000002-216B-4C38-89F5-38F7DF74168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21.200000000000003</c:v>
                </c:pt>
                <c:pt idx="1">
                  <c:v>20.099999999999994</c:v>
                </c:pt>
                <c:pt idx="2">
                  <c:v>22.200000000000003</c:v>
                </c:pt>
              </c:numCache>
            </c:numRef>
          </c:val>
          <c:extLst>
            <c:ext xmlns:c16="http://schemas.microsoft.com/office/drawing/2014/chart" uri="{C3380CC4-5D6E-409C-BE32-E72D297353CC}">
              <c16:uniqueId val="{00000003-216B-4C38-89F5-38F7DF741688}"/>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11.5</c:v>
                </c:pt>
                <c:pt idx="1">
                  <c:v>8.2000000000000028</c:v>
                </c:pt>
                <c:pt idx="2">
                  <c:v>7.5999999999999943</c:v>
                </c:pt>
              </c:numCache>
            </c:numRef>
          </c:val>
          <c:extLst>
            <c:ext xmlns:c16="http://schemas.microsoft.com/office/drawing/2014/chart" uri="{C3380CC4-5D6E-409C-BE32-E72D297353CC}">
              <c16:uniqueId val="{00000004-216B-4C38-89F5-38F7DF741688}"/>
            </c:ext>
          </c:extLst>
        </c:ser>
        <c:dLbls>
          <c:showLegendKey val="0"/>
          <c:showVal val="0"/>
          <c:showCatName val="0"/>
          <c:showSerName val="0"/>
          <c:showPercent val="0"/>
          <c:showBubbleSize val="0"/>
        </c:dLbls>
        <c:gapWidth val="150"/>
        <c:axId val="296687872"/>
        <c:axId val="296722432"/>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B-4C38-89F5-38F7DF741688}"/>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6B-4C38-89F5-38F7DF741688}"/>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6B-4C38-89F5-38F7DF741688}"/>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6B-4C38-89F5-38F7DF741688}"/>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6B-4C38-89F5-38F7DF741688}"/>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6B-4C38-89F5-38F7DF741688}"/>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6B-4C38-89F5-38F7DF741688}"/>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6B-4C38-89F5-38F7DF741688}"/>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6B-4C38-89F5-38F7DF741688}"/>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6B-4C38-89F5-38F7DF741688}"/>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c:ext xmlns:c16="http://schemas.microsoft.com/office/drawing/2014/chart" uri="{C3380CC4-5D6E-409C-BE32-E72D297353CC}">
              <c16:uniqueId val="{0000000F-216B-4C38-89F5-38F7DF741688}"/>
            </c:ext>
          </c:extLst>
        </c:ser>
        <c:dLbls>
          <c:showLegendKey val="0"/>
          <c:showVal val="0"/>
          <c:showCatName val="0"/>
          <c:showSerName val="0"/>
          <c:showPercent val="0"/>
          <c:showBubbleSize val="0"/>
        </c:dLbls>
        <c:marker val="1"/>
        <c:smooth val="0"/>
        <c:axId val="296725504"/>
        <c:axId val="296723968"/>
      </c:lineChart>
      <c:catAx>
        <c:axId val="296687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722432"/>
        <c:crosses val="autoZero"/>
        <c:auto val="1"/>
        <c:lblAlgn val="ctr"/>
        <c:lblOffset val="100"/>
        <c:noMultiLvlLbl val="0"/>
      </c:catAx>
      <c:valAx>
        <c:axId val="296722432"/>
        <c:scaling>
          <c:orientation val="minMax"/>
          <c:max val="24"/>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687872"/>
        <c:crosses val="autoZero"/>
        <c:crossBetween val="between"/>
        <c:majorUnit val="6"/>
      </c:valAx>
      <c:valAx>
        <c:axId val="296723968"/>
        <c:scaling>
          <c:orientation val="minMax"/>
          <c:max val="16"/>
          <c:min val="0"/>
        </c:scaling>
        <c:delete val="0"/>
        <c:axPos val="r"/>
        <c:numFmt formatCode="0.0" sourceLinked="1"/>
        <c:majorTickMark val="out"/>
        <c:minorTickMark val="none"/>
        <c:tickLblPos val="nextTo"/>
        <c:crossAx val="296725504"/>
        <c:crosses val="max"/>
        <c:crossBetween val="between"/>
      </c:valAx>
      <c:catAx>
        <c:axId val="296725504"/>
        <c:scaling>
          <c:orientation val="minMax"/>
        </c:scaling>
        <c:delete val="1"/>
        <c:axPos val="b"/>
        <c:numFmt formatCode="General" sourceLinked="1"/>
        <c:majorTickMark val="out"/>
        <c:minorTickMark val="none"/>
        <c:tickLblPos val="nextTo"/>
        <c:crossAx val="29672396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Sheet1!$B$2:$B$34</c:f>
              <c:numCache>
                <c:formatCode>0.0</c:formatCode>
                <c:ptCount val="17"/>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0.58935538987006431</c:v>
                </c:pt>
                <c:pt idx="12">
                  <c:v>0.86768074822675889</c:v>
                </c:pt>
                <c:pt idx="13">
                  <c:v>0.5763583447921693</c:v>
                </c:pt>
                <c:pt idx="14">
                  <c:v>-0.23465487438361232</c:v>
                </c:pt>
                <c:pt idx="15">
                  <c:v>-0.45217274616146541</c:v>
                </c:pt>
                <c:pt idx="16">
                  <c:v>-2.6166203011836684</c:v>
                </c:pt>
              </c:numCache>
            </c:numRef>
          </c:val>
          <c:extLst>
            <c:ext xmlns:c16="http://schemas.microsoft.com/office/drawing/2014/chart" uri="{C3380CC4-5D6E-409C-BE32-E72D297353CC}">
              <c16:uniqueId val="{00000000-42C5-4DAF-8499-BD2D24D4F70A}"/>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Sheet1!$C$2:$C$34</c:f>
              <c:numCache>
                <c:formatCode>0.0</c:formatCode>
                <c:ptCount val="17"/>
                <c:pt idx="0">
                  <c:v>-2.2966489350453703</c:v>
                </c:pt>
                <c:pt idx="1">
                  <c:v>-2.2288745973280197</c:v>
                </c:pt>
                <c:pt idx="2">
                  <c:v>-2.5672397152479274</c:v>
                </c:pt>
                <c:pt idx="3">
                  <c:v>-0.88384933501854113</c:v>
                </c:pt>
                <c:pt idx="4">
                  <c:v>-1.472507795198662</c:v>
                </c:pt>
                <c:pt idx="5">
                  <c:v>-0.7087271546861732</c:v>
                </c:pt>
                <c:pt idx="6">
                  <c:v>1.2806854401670376</c:v>
                </c:pt>
                <c:pt idx="7">
                  <c:v>1.1885527283576602</c:v>
                </c:pt>
                <c:pt idx="8">
                  <c:v>3.1230301488983647</c:v>
                </c:pt>
                <c:pt idx="9">
                  <c:v>5.1378776635412597</c:v>
                </c:pt>
                <c:pt idx="10">
                  <c:v>3.9241055765341768</c:v>
                </c:pt>
                <c:pt idx="11">
                  <c:v>4.0371233246588094</c:v>
                </c:pt>
                <c:pt idx="12">
                  <c:v>1.9384810226178721</c:v>
                </c:pt>
                <c:pt idx="13">
                  <c:v>0.34953211521925182</c:v>
                </c:pt>
                <c:pt idx="14">
                  <c:v>-0.18346049913816173</c:v>
                </c:pt>
                <c:pt idx="15">
                  <c:v>-1.1217983368059954</c:v>
                </c:pt>
                <c:pt idx="16">
                  <c:v>-2.1021918298167339</c:v>
                </c:pt>
              </c:numCache>
            </c:numRef>
          </c:val>
          <c:extLst>
            <c:ext xmlns:c16="http://schemas.microsoft.com/office/drawing/2014/chart" uri="{C3380CC4-5D6E-409C-BE32-E72D297353CC}">
              <c16:uniqueId val="{00000001-42C5-4DAF-8499-BD2D24D4F70A}"/>
            </c:ext>
          </c:extLst>
        </c:ser>
        <c:dLbls>
          <c:showLegendKey val="0"/>
          <c:showVal val="0"/>
          <c:showCatName val="0"/>
          <c:showSerName val="0"/>
          <c:showPercent val="0"/>
          <c:showBubbleSize val="0"/>
        </c:dLbls>
        <c:gapWidth val="150"/>
        <c:axId val="317155200"/>
        <c:axId val="31715673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C5-4DAF-8499-BD2D24D4F70A}"/>
                </c:ext>
              </c:extLst>
            </c:dLbl>
            <c:dLbl>
              <c:idx val="10"/>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5-4DAF-8499-BD2D24D4F70A}"/>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42C5-4DAF-8499-BD2D24D4F70A}"/>
                </c:ext>
              </c:extLst>
            </c:dLbl>
            <c:dLbl>
              <c:idx val="12"/>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5-4DAF-8499-BD2D24D4F70A}"/>
                </c:ext>
              </c:extLst>
            </c:dLbl>
            <c:dLbl>
              <c:idx val="16"/>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C5-4DAF-8499-BD2D24D4F70A}"/>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Sheet1!$D$2:$D$34</c:f>
              <c:numCache>
                <c:formatCode>0.0</c:formatCode>
                <c:ptCount val="17"/>
                <c:pt idx="0">
                  <c:v>-1.6665458969605238</c:v>
                </c:pt>
                <c:pt idx="1">
                  <c:v>-1.2695038795730105</c:v>
                </c:pt>
                <c:pt idx="2">
                  <c:v>-2.8998881870597648</c:v>
                </c:pt>
                <c:pt idx="3">
                  <c:v>-2.1124830267626469</c:v>
                </c:pt>
                <c:pt idx="4">
                  <c:v>-1.7685655352723968</c:v>
                </c:pt>
                <c:pt idx="5">
                  <c:v>-2.2033440886626869</c:v>
                </c:pt>
                <c:pt idx="6">
                  <c:v>-0.29041577211354408</c:v>
                </c:pt>
                <c:pt idx="7">
                  <c:v>3.6918276943677109E-2</c:v>
                </c:pt>
                <c:pt idx="8">
                  <c:v>2.0924458692676442</c:v>
                </c:pt>
                <c:pt idx="9">
                  <c:v>4.748141234533656</c:v>
                </c:pt>
                <c:pt idx="10">
                  <c:v>4.2745190202228622</c:v>
                </c:pt>
                <c:pt idx="11">
                  <c:v>4.6264787145288739</c:v>
                </c:pt>
                <c:pt idx="12">
                  <c:v>2.8061617708446311</c:v>
                </c:pt>
                <c:pt idx="13">
                  <c:v>0.92589046001142106</c:v>
                </c:pt>
                <c:pt idx="14">
                  <c:v>-0.41811537352177408</c:v>
                </c:pt>
                <c:pt idx="15">
                  <c:v>-1.5739710829674607</c:v>
                </c:pt>
                <c:pt idx="16">
                  <c:v>-4.7188121310004023</c:v>
                </c:pt>
              </c:numCache>
            </c:numRef>
          </c:val>
          <c:smooth val="0"/>
          <c:extLst>
            <c:ext xmlns:c16="http://schemas.microsoft.com/office/drawing/2014/chart" uri="{C3380CC4-5D6E-409C-BE32-E72D297353CC}">
              <c16:uniqueId val="{00000007-42C5-4DAF-8499-BD2D24D4F70A}"/>
            </c:ext>
          </c:extLst>
        </c:ser>
        <c:dLbls>
          <c:showLegendKey val="0"/>
          <c:showVal val="0"/>
          <c:showCatName val="0"/>
          <c:showSerName val="0"/>
          <c:showPercent val="0"/>
          <c:showBubbleSize val="0"/>
        </c:dLbls>
        <c:marker val="1"/>
        <c:smooth val="0"/>
        <c:axId val="317155200"/>
        <c:axId val="317156736"/>
      </c:lineChart>
      <c:catAx>
        <c:axId val="31715520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17156736"/>
        <c:crosses val="autoZero"/>
        <c:auto val="1"/>
        <c:lblAlgn val="ctr"/>
        <c:lblOffset val="100"/>
        <c:tickLblSkip val="1"/>
        <c:noMultiLvlLbl val="0"/>
      </c:catAx>
      <c:valAx>
        <c:axId val="31715673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1715520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16.599999999999994</c:v>
                </c:pt>
                <c:pt idx="1">
                  <c:v>2.4000000000000057</c:v>
                </c:pt>
                <c:pt idx="2">
                  <c:v>-6.9000000000000057</c:v>
                </c:pt>
              </c:numCache>
            </c:numRef>
          </c:val>
          <c:extLst>
            <c:ext xmlns:c16="http://schemas.microsoft.com/office/drawing/2014/chart" uri="{C3380CC4-5D6E-409C-BE32-E72D297353CC}">
              <c16:uniqueId val="{00000000-0A10-4948-8816-6998FCDC65C2}"/>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3</c:v>
                </c:pt>
                <c:pt idx="1">
                  <c:v>6.2999999999999972</c:v>
                </c:pt>
                <c:pt idx="2">
                  <c:v>8.2000000000000028</c:v>
                </c:pt>
              </c:numCache>
            </c:numRef>
          </c:val>
          <c:extLst>
            <c:ext xmlns:c16="http://schemas.microsoft.com/office/drawing/2014/chart" uri="{C3380CC4-5D6E-409C-BE32-E72D297353CC}">
              <c16:uniqueId val="{00000001-0A10-4948-8816-6998FCDC65C2}"/>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21.200000000000003</c:v>
                </c:pt>
                <c:pt idx="1">
                  <c:v>19</c:v>
                </c:pt>
                <c:pt idx="2">
                  <c:v>25.900000000000006</c:v>
                </c:pt>
              </c:numCache>
            </c:numRef>
          </c:val>
          <c:extLst>
            <c:ext xmlns:c16="http://schemas.microsoft.com/office/drawing/2014/chart" uri="{C3380CC4-5D6E-409C-BE32-E72D297353CC}">
              <c16:uniqueId val="{00000002-0A10-4948-8816-6998FCDC65C2}"/>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11.5</c:v>
                </c:pt>
                <c:pt idx="1">
                  <c:v>5.2999999999999972</c:v>
                </c:pt>
                <c:pt idx="2">
                  <c:v>6.5999999999999943</c:v>
                </c:pt>
              </c:numCache>
            </c:numRef>
          </c:val>
          <c:extLst>
            <c:ext xmlns:c16="http://schemas.microsoft.com/office/drawing/2014/chart" uri="{C3380CC4-5D6E-409C-BE32-E72D297353CC}">
              <c16:uniqueId val="{00000003-0A10-4948-8816-6998FCDC65C2}"/>
            </c:ext>
          </c:extLst>
        </c:ser>
        <c:dLbls>
          <c:showLegendKey val="0"/>
          <c:showVal val="0"/>
          <c:showCatName val="0"/>
          <c:showSerName val="0"/>
          <c:showPercent val="0"/>
          <c:showBubbleSize val="0"/>
        </c:dLbls>
        <c:gapWidth val="219"/>
        <c:overlap val="-27"/>
        <c:axId val="296850944"/>
        <c:axId val="296852480"/>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10-4948-8816-6998FCDC65C2}"/>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10-4948-8816-6998FCDC65C2}"/>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10-4948-8816-6998FCDC65C2}"/>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10-4948-8816-6998FCDC65C2}"/>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0A10-4948-8816-6998FCDC65C2}"/>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10-4948-8816-6998FCDC65C2}"/>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10-4948-8816-6998FCDC65C2}"/>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10-4948-8816-6998FCDC65C2}"/>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10-4948-8816-6998FCDC65C2}"/>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10-4948-8816-6998FCDC65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c:ext xmlns:c16="http://schemas.microsoft.com/office/drawing/2014/chart" uri="{C3380CC4-5D6E-409C-BE32-E72D297353CC}">
              <c16:uniqueId val="{0000000E-0A10-4948-8816-6998FCDC65C2}"/>
            </c:ext>
          </c:extLst>
        </c:ser>
        <c:dLbls>
          <c:showLegendKey val="0"/>
          <c:showVal val="0"/>
          <c:showCatName val="0"/>
          <c:showSerName val="0"/>
          <c:showPercent val="0"/>
          <c:showBubbleSize val="0"/>
        </c:dLbls>
        <c:marker val="1"/>
        <c:smooth val="0"/>
        <c:axId val="296868096"/>
        <c:axId val="296866560"/>
      </c:lineChart>
      <c:catAx>
        <c:axId val="296850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2480"/>
        <c:crosses val="autoZero"/>
        <c:auto val="1"/>
        <c:lblAlgn val="ctr"/>
        <c:lblOffset val="100"/>
        <c:noMultiLvlLbl val="0"/>
      </c:catAx>
      <c:valAx>
        <c:axId val="296852480"/>
        <c:scaling>
          <c:orientation val="minMax"/>
          <c:max val="2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0944"/>
        <c:crosses val="autoZero"/>
        <c:crossBetween val="between"/>
        <c:majorUnit val="8"/>
      </c:valAx>
      <c:valAx>
        <c:axId val="296866560"/>
        <c:scaling>
          <c:orientation val="minMax"/>
          <c:max val="16"/>
        </c:scaling>
        <c:delete val="0"/>
        <c:axPos val="r"/>
        <c:numFmt formatCode="0.0" sourceLinked="1"/>
        <c:majorTickMark val="out"/>
        <c:minorTickMark val="none"/>
        <c:tickLblPos val="nextTo"/>
        <c:crossAx val="296868096"/>
        <c:crosses val="max"/>
        <c:crossBetween val="between"/>
        <c:majorUnit val="4"/>
      </c:valAx>
      <c:catAx>
        <c:axId val="296868096"/>
        <c:scaling>
          <c:orientation val="minMax"/>
        </c:scaling>
        <c:delete val="1"/>
        <c:axPos val="b"/>
        <c:numFmt formatCode="General" sourceLinked="1"/>
        <c:majorTickMark val="out"/>
        <c:minorTickMark val="none"/>
        <c:tickLblPos val="nextTo"/>
        <c:crossAx val="29686656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3.680832877973367</c:v>
                </c:pt>
                <c:pt idx="1">
                  <c:v>1.9970681704098014</c:v>
                </c:pt>
                <c:pt idx="2">
                  <c:v>0.68738445311550733</c:v>
                </c:pt>
              </c:numCache>
            </c:numRef>
          </c:val>
          <c:extLst>
            <c:ext xmlns:c16="http://schemas.microsoft.com/office/drawing/2014/chart" uri="{C3380CC4-5D6E-409C-BE32-E72D297353CC}">
              <c16:uniqueId val="{00000000-6C7D-4253-A35F-4FC30A9F6345}"/>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0.0</c:formatCode>
                <c:ptCount val="3"/>
                <c:pt idx="0">
                  <c:v>0</c:v>
                </c:pt>
                <c:pt idx="1">
                  <c:v>0</c:v>
                </c:pt>
                <c:pt idx="2">
                  <c:v>-0.67444374001273288</c:v>
                </c:pt>
              </c:numCache>
            </c:numRef>
          </c:val>
          <c:extLst>
            <c:ext xmlns:c16="http://schemas.microsoft.com/office/drawing/2014/chart" uri="{C3380CC4-5D6E-409C-BE32-E72D297353CC}">
              <c16:uniqueId val="{00000001-6C7D-4253-A35F-4FC30A9F6345}"/>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0.21525790674990417</c:v>
                </c:pt>
                <c:pt idx="1">
                  <c:v>0.35158791435817721</c:v>
                </c:pt>
                <c:pt idx="2">
                  <c:v>0.44486634061646879</c:v>
                </c:pt>
              </c:numCache>
            </c:numRef>
          </c:val>
          <c:extLst>
            <c:ext xmlns:c16="http://schemas.microsoft.com/office/drawing/2014/chart" uri="{C3380CC4-5D6E-409C-BE32-E72D297353CC}">
              <c16:uniqueId val="{00000002-6C7D-4253-A35F-4FC30A9F6345}"/>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9.7040852150518262</c:v>
                </c:pt>
                <c:pt idx="1">
                  <c:v>9.2005713595538499</c:v>
                </c:pt>
                <c:pt idx="2">
                  <c:v>10.161825083686347</c:v>
                </c:pt>
              </c:numCache>
            </c:numRef>
          </c:val>
          <c:extLst>
            <c:ext xmlns:c16="http://schemas.microsoft.com/office/drawing/2014/chart" uri="{C3380CC4-5D6E-409C-BE32-E72D297353CC}">
              <c16:uniqueId val="{00000003-6C7D-4253-A35F-4FC30A9F6345}"/>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1.4245462451075392</c:v>
                </c:pt>
                <c:pt idx="1">
                  <c:v>1.0157634095549413</c:v>
                </c:pt>
                <c:pt idx="2">
                  <c:v>0.941439257636286</c:v>
                </c:pt>
              </c:numCache>
            </c:numRef>
          </c:val>
          <c:extLst>
            <c:ext xmlns:c16="http://schemas.microsoft.com/office/drawing/2014/chart" uri="{C3380CC4-5D6E-409C-BE32-E72D297353CC}">
              <c16:uniqueId val="{00000004-6C7D-4253-A35F-4FC30A9F6345}"/>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-0.22472224488263848</c:v>
                </c:pt>
                <c:pt idx="1">
                  <c:v>-1.2554363809067492</c:v>
                </c:pt>
                <c:pt idx="2">
                  <c:v>-1.9610713950418823</c:v>
                </c:pt>
              </c:numCache>
            </c:numRef>
          </c:val>
          <c:extLst>
            <c:ext xmlns:c16="http://schemas.microsoft.com/office/drawing/2014/chart" uri="{C3380CC4-5D6E-409C-BE32-E72D297353CC}">
              <c16:uniqueId val="{00000005-6C7D-4253-A35F-4FC30A9F6345}"/>
            </c:ext>
          </c:extLst>
        </c:ser>
        <c:dLbls>
          <c:showLegendKey val="0"/>
          <c:showVal val="0"/>
          <c:showCatName val="0"/>
          <c:showSerName val="0"/>
          <c:showPercent val="0"/>
          <c:showBubbleSize val="0"/>
        </c:dLbls>
        <c:gapWidth val="150"/>
        <c:overlap val="100"/>
        <c:axId val="297199872"/>
        <c:axId val="29956915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7D-4253-A35F-4FC30A9F6345}"/>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7D-4253-A35F-4FC30A9F6345}"/>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7D-4253-A35F-4FC30A9F6345}"/>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7D-4253-A35F-4FC30A9F6345}"/>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7D-4253-A35F-4FC30A9F6345}"/>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7D-4253-A35F-4FC30A9F6345}"/>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7D-4253-A35F-4FC30A9F6345}"/>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7D-4253-A35F-4FC30A9F6345}"/>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7D-4253-A35F-4FC30A9F6345}"/>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7D-4253-A35F-4FC30A9F63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c:ext xmlns:c16="http://schemas.microsoft.com/office/drawing/2014/chart" uri="{C3380CC4-5D6E-409C-BE32-E72D297353CC}">
              <c16:uniqueId val="{00000010-6C7D-4253-A35F-4FC30A9F6345}"/>
            </c:ext>
          </c:extLst>
        </c:ser>
        <c:dLbls>
          <c:showLegendKey val="0"/>
          <c:showVal val="0"/>
          <c:showCatName val="0"/>
          <c:showSerName val="0"/>
          <c:showPercent val="0"/>
          <c:showBubbleSize val="0"/>
        </c:dLbls>
        <c:marker val="1"/>
        <c:smooth val="0"/>
        <c:axId val="297199872"/>
        <c:axId val="299569152"/>
      </c:lineChart>
      <c:catAx>
        <c:axId val="297199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69152"/>
        <c:crosses val="autoZero"/>
        <c:auto val="1"/>
        <c:lblAlgn val="ctr"/>
        <c:lblOffset val="100"/>
        <c:noMultiLvlLbl val="0"/>
      </c:catAx>
      <c:valAx>
        <c:axId val="299569152"/>
        <c:scaling>
          <c:orientation val="minMax"/>
          <c:max val="16"/>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99872"/>
        <c:crosses val="autoZero"/>
        <c:crossBetween val="between"/>
        <c:majorUnit val="3"/>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3.680832877973367</c:v>
                </c:pt>
                <c:pt idx="1">
                  <c:v>0.53216860886362083</c:v>
                </c:pt>
                <c:pt idx="2">
                  <c:v>-1.5299847504829074</c:v>
                </c:pt>
              </c:numCache>
            </c:numRef>
          </c:val>
          <c:extLst>
            <c:ext xmlns:c16="http://schemas.microsoft.com/office/drawing/2014/chart" uri="{C3380CC4-5D6E-409C-BE32-E72D297353CC}">
              <c16:uniqueId val="{00000000-7C3E-4E05-8AD1-0547FCBB546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0.21525790674990417</c:v>
                </c:pt>
                <c:pt idx="1">
                  <c:v>0.45204160417479855</c:v>
                </c:pt>
                <c:pt idx="2">
                  <c:v>0.58837161178307162</c:v>
                </c:pt>
              </c:numCache>
            </c:numRef>
          </c:val>
          <c:extLst>
            <c:ext xmlns:c16="http://schemas.microsoft.com/office/drawing/2014/chart" uri="{C3380CC4-5D6E-409C-BE32-E72D297353CC}">
              <c16:uniqueId val="{00000001-7C3E-4E05-8AD1-0547FCBB5465}"/>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9.7040852150518262</c:v>
                </c:pt>
                <c:pt idx="1">
                  <c:v>8.6970575040558806</c:v>
                </c:pt>
                <c:pt idx="2">
                  <c:v>11.855462597634071</c:v>
                </c:pt>
              </c:numCache>
            </c:numRef>
          </c:val>
          <c:extLst>
            <c:ext xmlns:c16="http://schemas.microsoft.com/office/drawing/2014/chart" uri="{C3380CC4-5D6E-409C-BE32-E72D297353CC}">
              <c16:uniqueId val="{00000002-7C3E-4E05-8AD1-0547FCBB5465}"/>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1.4245462451075392</c:v>
                </c:pt>
                <c:pt idx="1">
                  <c:v>0.6565300086147785</c:v>
                </c:pt>
                <c:pt idx="2">
                  <c:v>0.81756567110519562</c:v>
                </c:pt>
              </c:numCache>
            </c:numRef>
          </c:val>
          <c:extLst>
            <c:ext xmlns:c16="http://schemas.microsoft.com/office/drawing/2014/chart" uri="{C3380CC4-5D6E-409C-BE32-E72D297353CC}">
              <c16:uniqueId val="{00000003-7C3E-4E05-8AD1-0547FCBB5465}"/>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Sheet1!$B$1:$D$1</c:f>
              <c:strCache>
                <c:ptCount val="3"/>
                <c:pt idx="0">
                  <c:v>I</c:v>
                </c:pt>
                <c:pt idx="1">
                  <c:v>II</c:v>
                </c:pt>
                <c:pt idx="2">
                  <c:v>III</c:v>
                </c:pt>
              </c:strCache>
            </c:strRef>
          </c:cat>
          <c:val>
            <c:numRef>
              <c:f>Sheet1!$B$7:$D$7</c:f>
              <c:numCache>
                <c:formatCode>0.0</c:formatCode>
                <c:ptCount val="3"/>
                <c:pt idx="0">
                  <c:v>-0.22472224488263848</c:v>
                </c:pt>
                <c:pt idx="1">
                  <c:v>-2.1377977257090759</c:v>
                </c:pt>
                <c:pt idx="2">
                  <c:v>-5.031415130039429</c:v>
                </c:pt>
              </c:numCache>
            </c:numRef>
          </c:val>
          <c:extLst>
            <c:ext xmlns:c16="http://schemas.microsoft.com/office/drawing/2014/chart" uri="{C3380CC4-5D6E-409C-BE32-E72D297353CC}">
              <c16:uniqueId val="{00000004-7C3E-4E05-8AD1-0547FCBB5465}"/>
            </c:ext>
          </c:extLst>
        </c:ser>
        <c:dLbls>
          <c:showLegendKey val="0"/>
          <c:showVal val="0"/>
          <c:showCatName val="0"/>
          <c:showSerName val="0"/>
          <c:showPercent val="0"/>
          <c:showBubbleSize val="0"/>
        </c:dLbls>
        <c:gapWidth val="219"/>
        <c:overlap val="100"/>
        <c:axId val="299584512"/>
        <c:axId val="299610880"/>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3E-4E05-8AD1-0547FCBB5465}"/>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3E-4E05-8AD1-0547FCBB5465}"/>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3E-4E05-8AD1-0547FCBB5465}"/>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3E-4E05-8AD1-0547FCBB5465}"/>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3E-4E05-8AD1-0547FCBB5465}"/>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3E-4E05-8AD1-0547FCBB5465}"/>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3E-4E05-8AD1-0547FCBB5465}"/>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3E-4E05-8AD1-0547FCBB5465}"/>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3E-4E05-8AD1-0547FCBB5465}"/>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3E-4E05-8AD1-0547FCBB546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c:ext xmlns:c16="http://schemas.microsoft.com/office/drawing/2014/chart" uri="{C3380CC4-5D6E-409C-BE32-E72D297353CC}">
              <c16:uniqueId val="{0000000F-7C3E-4E05-8AD1-0547FCBB5465}"/>
            </c:ext>
          </c:extLst>
        </c:ser>
        <c:dLbls>
          <c:showLegendKey val="0"/>
          <c:showVal val="0"/>
          <c:showCatName val="0"/>
          <c:showSerName val="0"/>
          <c:showPercent val="0"/>
          <c:showBubbleSize val="0"/>
        </c:dLbls>
        <c:marker val="1"/>
        <c:smooth val="0"/>
        <c:axId val="299584512"/>
        <c:axId val="299610880"/>
      </c:lineChart>
      <c:catAx>
        <c:axId val="2995845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610880"/>
        <c:crosses val="autoZero"/>
        <c:auto val="1"/>
        <c:lblAlgn val="ctr"/>
        <c:lblOffset val="100"/>
        <c:noMultiLvlLbl val="0"/>
      </c:catAx>
      <c:valAx>
        <c:axId val="299610880"/>
        <c:scaling>
          <c:orientation val="minMax"/>
          <c:max val="16"/>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84512"/>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numCache>
            </c:numRef>
          </c:val>
          <c:extLst>
            <c:ext xmlns:c16="http://schemas.microsoft.com/office/drawing/2014/chart" uri="{C3380CC4-5D6E-409C-BE32-E72D297353CC}">
              <c16:uniqueId val="{00000000-8C6A-4D97-BF32-9E004F8A3DF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numCache>
            </c:numRef>
          </c:val>
          <c:extLst>
            <c:ext xmlns:c16="http://schemas.microsoft.com/office/drawing/2014/chart" uri="{C3380CC4-5D6E-409C-BE32-E72D297353CC}">
              <c16:uniqueId val="{00000001-8C6A-4D97-BF32-9E004F8A3DF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numCache>
            </c:numRef>
          </c:val>
          <c:extLst>
            <c:ext xmlns:c16="http://schemas.microsoft.com/office/drawing/2014/chart" uri="{C3380CC4-5D6E-409C-BE32-E72D297353CC}">
              <c16:uniqueId val="{00000002-8C6A-4D97-BF32-9E004F8A3DF3}"/>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numCache>
            </c:numRef>
          </c:val>
          <c:extLst>
            <c:ext xmlns:c16="http://schemas.microsoft.com/office/drawing/2014/chart" uri="{C3380CC4-5D6E-409C-BE32-E72D297353CC}">
              <c16:uniqueId val="{00000003-8C6A-4D97-BF32-9E004F8A3DF3}"/>
            </c:ext>
          </c:extLst>
        </c:ser>
        <c:dLbls>
          <c:showLegendKey val="0"/>
          <c:showVal val="0"/>
          <c:showCatName val="0"/>
          <c:showSerName val="0"/>
          <c:showPercent val="0"/>
          <c:showBubbleSize val="0"/>
        </c:dLbls>
        <c:gapWidth val="100"/>
        <c:overlap val="100"/>
        <c:axId val="300249856"/>
        <c:axId val="30025139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4-8C6A-4D97-BF32-9E004F8A3DF3}"/>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8C6A-4D97-BF32-9E004F8A3DF3}"/>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6A-4D97-BF32-9E004F8A3DF3}"/>
                </c:ext>
              </c:extLst>
            </c:dLbl>
            <c:dLbl>
              <c:idx val="6"/>
              <c:layout>
                <c:manualLayout>
                  <c:x val="-2.9025239338555265E-2"/>
                  <c:y val="-3.786681715575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6A-4D97-BF32-9E004F8A3DF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numCache>
            </c:numRef>
          </c:val>
          <c:smooth val="0"/>
          <c:extLst>
            <c:ext xmlns:c16="http://schemas.microsoft.com/office/drawing/2014/chart" uri="{C3380CC4-5D6E-409C-BE32-E72D297353CC}">
              <c16:uniqueId val="{00000008-8C6A-4D97-BF32-9E004F8A3DF3}"/>
            </c:ext>
          </c:extLst>
        </c:ser>
        <c:dLbls>
          <c:showLegendKey val="0"/>
          <c:showVal val="0"/>
          <c:showCatName val="0"/>
          <c:showSerName val="0"/>
          <c:showPercent val="0"/>
          <c:showBubbleSize val="0"/>
        </c:dLbls>
        <c:marker val="1"/>
        <c:smooth val="0"/>
        <c:axId val="300249856"/>
        <c:axId val="300251392"/>
      </c:lineChart>
      <c:catAx>
        <c:axId val="300249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0251392"/>
        <c:crosses val="autoZero"/>
        <c:auto val="1"/>
        <c:lblAlgn val="ctr"/>
        <c:lblOffset val="100"/>
        <c:noMultiLvlLbl val="0"/>
      </c:catAx>
      <c:valAx>
        <c:axId val="3002513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02498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numCache>
            </c:numRef>
          </c:val>
          <c:extLst>
            <c:ext xmlns:c16="http://schemas.microsoft.com/office/drawing/2014/chart" uri="{C3380CC4-5D6E-409C-BE32-E72D297353CC}">
              <c16:uniqueId val="{00000000-22C8-4331-AB0A-BBA1E61C030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numCache>
            </c:numRef>
          </c:val>
          <c:extLst>
            <c:ext xmlns:c16="http://schemas.microsoft.com/office/drawing/2014/chart" uri="{C3380CC4-5D6E-409C-BE32-E72D297353CC}">
              <c16:uniqueId val="{00000001-22C8-4331-AB0A-BBA1E61C030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numCache>
            </c:numRef>
          </c:val>
          <c:extLst>
            <c:ext xmlns:c16="http://schemas.microsoft.com/office/drawing/2014/chart" uri="{C3380CC4-5D6E-409C-BE32-E72D297353CC}">
              <c16:uniqueId val="{00000002-22C8-4331-AB0A-BBA1E61C0303}"/>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numCache>
            </c:numRef>
          </c:val>
          <c:extLst>
            <c:ext xmlns:c16="http://schemas.microsoft.com/office/drawing/2014/chart" uri="{C3380CC4-5D6E-409C-BE32-E72D297353CC}">
              <c16:uniqueId val="{00000003-22C8-4331-AB0A-BBA1E61C0303}"/>
            </c:ext>
          </c:extLst>
        </c:ser>
        <c:dLbls>
          <c:showLegendKey val="0"/>
          <c:showVal val="0"/>
          <c:showCatName val="0"/>
          <c:showSerName val="0"/>
          <c:showPercent val="0"/>
          <c:showBubbleSize val="0"/>
        </c:dLbls>
        <c:gapWidth val="100"/>
        <c:overlap val="100"/>
        <c:axId val="301835392"/>
        <c:axId val="3018369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22C8-4331-AB0A-BBA1E61C0303}"/>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numCache>
            </c:numRef>
          </c:val>
          <c:smooth val="0"/>
          <c:extLst>
            <c:ext xmlns:c16="http://schemas.microsoft.com/office/drawing/2014/chart" uri="{C3380CC4-5D6E-409C-BE32-E72D297353CC}">
              <c16:uniqueId val="{00000005-22C8-4331-AB0A-BBA1E61C0303}"/>
            </c:ext>
          </c:extLst>
        </c:ser>
        <c:dLbls>
          <c:showLegendKey val="0"/>
          <c:showVal val="0"/>
          <c:showCatName val="0"/>
          <c:showSerName val="0"/>
          <c:showPercent val="0"/>
          <c:showBubbleSize val="0"/>
        </c:dLbls>
        <c:marker val="1"/>
        <c:smooth val="0"/>
        <c:axId val="301835392"/>
        <c:axId val="301836928"/>
      </c:lineChart>
      <c:catAx>
        <c:axId val="301835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1836928"/>
        <c:crosses val="autoZero"/>
        <c:auto val="1"/>
        <c:lblAlgn val="ctr"/>
        <c:lblOffset val="100"/>
        <c:noMultiLvlLbl val="0"/>
      </c:catAx>
      <c:valAx>
        <c:axId val="301836928"/>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1835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F421-44F6-A994-A3D449C5E03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F421-44F6-A994-A3D449C5E03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F421-44F6-A994-A3D449C5E031}"/>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F421-44F6-A994-A3D449C5E031}"/>
            </c:ext>
          </c:extLst>
        </c:ser>
        <c:dLbls>
          <c:showLegendKey val="0"/>
          <c:showVal val="0"/>
          <c:showCatName val="0"/>
          <c:showSerName val="0"/>
          <c:showPercent val="0"/>
          <c:showBubbleSize val="0"/>
        </c:dLbls>
        <c:gapWidth val="100"/>
        <c:overlap val="100"/>
        <c:axId val="302350720"/>
        <c:axId val="302352256"/>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F421-44F6-A994-A3D449C5E031}"/>
            </c:ext>
          </c:extLst>
        </c:ser>
        <c:dLbls>
          <c:showLegendKey val="0"/>
          <c:showVal val="0"/>
          <c:showCatName val="0"/>
          <c:showSerName val="0"/>
          <c:showPercent val="0"/>
          <c:showBubbleSize val="0"/>
        </c:dLbls>
        <c:marker val="1"/>
        <c:smooth val="0"/>
        <c:axId val="302350720"/>
        <c:axId val="302352256"/>
      </c:lineChart>
      <c:catAx>
        <c:axId val="302350720"/>
        <c:scaling>
          <c:orientation val="minMax"/>
        </c:scaling>
        <c:delete val="1"/>
        <c:axPos val="b"/>
        <c:numFmt formatCode="General" sourceLinked="1"/>
        <c:majorTickMark val="out"/>
        <c:minorTickMark val="none"/>
        <c:tickLblPos val="nextTo"/>
        <c:crossAx val="302352256"/>
        <c:crosses val="autoZero"/>
        <c:auto val="1"/>
        <c:lblAlgn val="ctr"/>
        <c:lblOffset val="100"/>
        <c:noMultiLvlLbl val="0"/>
      </c:catAx>
      <c:valAx>
        <c:axId val="302352256"/>
        <c:scaling>
          <c:orientation val="minMax"/>
        </c:scaling>
        <c:delete val="1"/>
        <c:axPos val="l"/>
        <c:numFmt formatCode="General" sourceLinked="1"/>
        <c:majorTickMark val="none"/>
        <c:minorTickMark val="none"/>
        <c:tickLblPos val="nextTo"/>
        <c:crossAx val="302350720"/>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0.0</c:formatCode>
                <c:ptCount val="5"/>
                <c:pt idx="0">
                  <c:v>594.14350000000002</c:v>
                </c:pt>
                <c:pt idx="1">
                  <c:v>543.97133162860041</c:v>
                </c:pt>
                <c:pt idx="2">
                  <c:v>555.97250000000008</c:v>
                </c:pt>
                <c:pt idx="3">
                  <c:v>576.5865</c:v>
                </c:pt>
                <c:pt idx="4">
                  <c:v>731.77359999999999</c:v>
                </c:pt>
              </c:numCache>
            </c:numRef>
          </c:val>
          <c:extLst>
            <c:ext xmlns:c16="http://schemas.microsoft.com/office/drawing/2014/chart" uri="{C3380CC4-5D6E-409C-BE32-E72D297353CC}">
              <c16:uniqueId val="{00000000-0BD5-4E2A-89CA-B106EBFA38EB}"/>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1120.8148463800001</c:v>
                </c:pt>
                <c:pt idx="1">
                  <c:v>1087.5995929099993</c:v>
                </c:pt>
                <c:pt idx="2">
                  <c:v>1025.2208019599998</c:v>
                </c:pt>
                <c:pt idx="3">
                  <c:v>938.06780000000003</c:v>
                </c:pt>
                <c:pt idx="4">
                  <c:v>1366.2376000000002</c:v>
                </c:pt>
              </c:numCache>
            </c:numRef>
          </c:val>
          <c:extLst>
            <c:ext xmlns:c16="http://schemas.microsoft.com/office/drawing/2014/chart" uri="{C3380CC4-5D6E-409C-BE32-E72D297353CC}">
              <c16:uniqueId val="{00000001-0BD5-4E2A-89CA-B106EBFA38EB}"/>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-526.67134638000005</c:v>
                </c:pt>
                <c:pt idx="1">
                  <c:v>-543.62826128139886</c:v>
                </c:pt>
                <c:pt idx="2">
                  <c:v>-469.24830195999971</c:v>
                </c:pt>
                <c:pt idx="3">
                  <c:v>-361.48130000000003</c:v>
                </c:pt>
                <c:pt idx="4">
                  <c:v>-634.46400000000017</c:v>
                </c:pt>
              </c:numCache>
            </c:numRef>
          </c:val>
          <c:extLst>
            <c:ext xmlns:c16="http://schemas.microsoft.com/office/drawing/2014/chart" uri="{C3380CC4-5D6E-409C-BE32-E72D297353CC}">
              <c16:uniqueId val="{00000002-0BD5-4E2A-89CA-B106EBFA38EB}"/>
            </c:ext>
          </c:extLst>
        </c:ser>
        <c:dLbls>
          <c:showLegendKey val="0"/>
          <c:showVal val="0"/>
          <c:showCatName val="0"/>
          <c:showSerName val="0"/>
          <c:showPercent val="0"/>
          <c:showBubbleSize val="0"/>
        </c:dLbls>
        <c:gapWidth val="150"/>
        <c:axId val="307732864"/>
        <c:axId val="307734400"/>
      </c:barChart>
      <c:catAx>
        <c:axId val="307732864"/>
        <c:scaling>
          <c:orientation val="minMax"/>
        </c:scaling>
        <c:delete val="0"/>
        <c:axPos val="b"/>
        <c:numFmt formatCode="General" sourceLinked="1"/>
        <c:majorTickMark val="out"/>
        <c:minorTickMark val="none"/>
        <c:tickLblPos val="nextTo"/>
        <c:crossAx val="307734400"/>
        <c:crosses val="autoZero"/>
        <c:auto val="1"/>
        <c:lblAlgn val="ctr"/>
        <c:lblOffset val="100"/>
        <c:noMultiLvlLbl val="0"/>
      </c:catAx>
      <c:valAx>
        <c:axId val="307734400"/>
        <c:scaling>
          <c:orientation val="minMax"/>
        </c:scaling>
        <c:delete val="0"/>
        <c:axPos val="l"/>
        <c:majorGridlines/>
        <c:numFmt formatCode="0.0" sourceLinked="1"/>
        <c:majorTickMark val="out"/>
        <c:minorTickMark val="none"/>
        <c:tickLblPos val="nextTo"/>
        <c:crossAx val="307732864"/>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23</Pages>
  <Words>5681</Words>
  <Characters>32384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Daveyan</dc:creator>
  <cp:keywords/>
  <dc:description/>
  <cp:lastModifiedBy>Liana Daveyan</cp:lastModifiedBy>
  <cp:revision>2</cp:revision>
  <dcterms:created xsi:type="dcterms:W3CDTF">2022-06-30T05:33:00Z</dcterms:created>
  <dcterms:modified xsi:type="dcterms:W3CDTF">2022-06-30T05:38:00Z</dcterms:modified>
</cp:coreProperties>
</file>